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1B7D" w:rsidRPr="00742782" w:rsidRDefault="00322198" w:rsidP="00133CE8">
      <w:pPr>
        <w:rPr>
          <w:rFonts w:ascii="Swis721 Th BT" w:hAnsi="Swis721 Th BT"/>
          <w:sz w:val="48"/>
        </w:rPr>
      </w:pPr>
      <w:r>
        <w:rPr>
          <w:rFonts w:ascii="Swis721 Th BT" w:hAnsi="Swis721 Th BT"/>
          <w:noProof/>
          <w:sz w:val="48"/>
          <w:lang w:val="en-GB" w:eastAsia="en-GB"/>
        </w:rPr>
        <mc:AlternateContent>
          <mc:Choice Requires="wps">
            <w:drawing>
              <wp:anchor distT="0" distB="0" distL="114300" distR="114300" simplePos="0" relativeHeight="251668480" behindDoc="0" locked="0" layoutInCell="1" allowOverlap="1" wp14:anchorId="33C9474E" wp14:editId="4BC159E5">
                <wp:simplePos x="0" y="0"/>
                <wp:positionH relativeFrom="column">
                  <wp:posOffset>-1139825</wp:posOffset>
                </wp:positionH>
                <wp:positionV relativeFrom="paragraph">
                  <wp:posOffset>1074420</wp:posOffset>
                </wp:positionV>
                <wp:extent cx="6250940" cy="51244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250940" cy="5124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B4694" w:rsidRDefault="007B4694" w:rsidP="007B4694">
                            <w:pPr>
                              <w:rPr>
                                <w:rFonts w:ascii="Arial" w:hAnsi="Arial" w:cs="Arial"/>
                                <w:b/>
                                <w:sz w:val="48"/>
                                <w:szCs w:val="48"/>
                              </w:rPr>
                            </w:pPr>
                            <w:r w:rsidRPr="007B4694">
                              <w:rPr>
                                <w:rFonts w:ascii="Arial" w:hAnsi="Arial" w:cs="Arial"/>
                                <w:b/>
                                <w:sz w:val="48"/>
                                <w:szCs w:val="48"/>
                              </w:rPr>
                              <w:t xml:space="preserve">The legacy of public subsidies for innovation: input, output and </w:t>
                            </w:r>
                          </w:p>
                          <w:p w:rsidR="007B4694" w:rsidRPr="007B4694" w:rsidRDefault="007B4694" w:rsidP="007B4694">
                            <w:pPr>
                              <w:rPr>
                                <w:rFonts w:ascii="Arial" w:hAnsi="Arial" w:cs="Arial"/>
                                <w:b/>
                                <w:sz w:val="48"/>
                                <w:szCs w:val="48"/>
                              </w:rPr>
                            </w:pPr>
                            <w:r w:rsidRPr="007B4694">
                              <w:rPr>
                                <w:rFonts w:ascii="Arial" w:hAnsi="Arial" w:cs="Arial"/>
                                <w:b/>
                                <w:sz w:val="48"/>
                                <w:szCs w:val="48"/>
                              </w:rPr>
                              <w:t>behavioural additionality effects</w:t>
                            </w:r>
                          </w:p>
                          <w:p w:rsidR="007B4694" w:rsidRDefault="007B4694" w:rsidP="007B4694">
                            <w:pPr>
                              <w:spacing w:after="300"/>
                              <w:rPr>
                                <w:rFonts w:ascii="Arial" w:hAnsi="Arial" w:cs="Arial"/>
                                <w:b/>
                                <w:sz w:val="60"/>
                                <w:szCs w:val="60"/>
                              </w:rPr>
                            </w:pPr>
                          </w:p>
                          <w:p w:rsidR="007B4694" w:rsidRPr="00DE12D0" w:rsidRDefault="007B4694" w:rsidP="007B4694">
                            <w:pPr>
                              <w:spacing w:after="300"/>
                              <w:rPr>
                                <w:rFonts w:ascii="Arial" w:hAnsi="Arial" w:cs="Arial"/>
                                <w:b/>
                                <w:sz w:val="60"/>
                                <w:szCs w:val="60"/>
                              </w:rPr>
                            </w:pPr>
                          </w:p>
                          <w:p w:rsidR="007B4694" w:rsidRDefault="007B4694" w:rsidP="00BB22AF">
                            <w:pPr>
                              <w:rPr>
                                <w:rFonts w:ascii="Arial" w:hAnsi="Arial" w:cs="Arial"/>
                                <w:b/>
                                <w:sz w:val="44"/>
                                <w:szCs w:val="44"/>
                              </w:rPr>
                            </w:pPr>
                            <w:r w:rsidRPr="00BB22AF">
                              <w:rPr>
                                <w:rFonts w:ascii="Arial" w:hAnsi="Arial" w:cs="Arial"/>
                                <w:b/>
                                <w:sz w:val="44"/>
                                <w:szCs w:val="44"/>
                              </w:rPr>
                              <w:t>Stephen Roper</w:t>
                            </w:r>
                            <w:r>
                              <w:rPr>
                                <w:rFonts w:ascii="Arial" w:hAnsi="Arial" w:cs="Arial"/>
                                <w:b/>
                                <w:sz w:val="44"/>
                                <w:szCs w:val="44"/>
                              </w:rPr>
                              <w:t xml:space="preserve"> and</w:t>
                            </w:r>
                          </w:p>
                          <w:p w:rsidR="007B4694" w:rsidRPr="00BB22AF" w:rsidRDefault="007B4694" w:rsidP="00BB22AF">
                            <w:pPr>
                              <w:rPr>
                                <w:rFonts w:ascii="Arial" w:hAnsi="Arial" w:cs="Arial"/>
                                <w:b/>
                                <w:sz w:val="44"/>
                                <w:szCs w:val="44"/>
                              </w:rPr>
                            </w:pPr>
                            <w:r w:rsidRPr="00BB22AF">
                              <w:rPr>
                                <w:rFonts w:ascii="Arial" w:hAnsi="Arial" w:cs="Arial"/>
                                <w:b/>
                                <w:sz w:val="44"/>
                                <w:szCs w:val="44"/>
                              </w:rPr>
                              <w:t xml:space="preserve">Nola Hewitt-Dundas </w:t>
                            </w:r>
                          </w:p>
                          <w:p w:rsidR="007B4694" w:rsidRPr="00C543E5" w:rsidRDefault="007B4694" w:rsidP="00322198">
                            <w:pPr>
                              <w:rPr>
                                <w:rFonts w:ascii="Arial" w:hAnsi="Arial" w:cs="Arial"/>
                                <w:b/>
                                <w:color w:val="000000"/>
                                <w:sz w:val="36"/>
                                <w:szCs w:val="36"/>
                              </w:rPr>
                            </w:pPr>
                          </w:p>
                          <w:p w:rsidR="007B4694" w:rsidRDefault="007B4694" w:rsidP="00322198">
                            <w:pPr>
                              <w:rPr>
                                <w:rFonts w:ascii="Arial" w:hAnsi="Arial" w:cs="Arial"/>
                                <w:b/>
                                <w:color w:val="000000"/>
                                <w:sz w:val="36"/>
                                <w:szCs w:val="36"/>
                              </w:rPr>
                            </w:pPr>
                          </w:p>
                          <w:p w:rsidR="007B4694" w:rsidRDefault="007B4694" w:rsidP="00322198">
                            <w:pPr>
                              <w:rPr>
                                <w:rFonts w:ascii="Arial" w:hAnsi="Arial" w:cs="Arial"/>
                                <w:b/>
                                <w:color w:val="000000"/>
                                <w:sz w:val="36"/>
                                <w:szCs w:val="36"/>
                              </w:rPr>
                            </w:pPr>
                          </w:p>
                          <w:p w:rsidR="007B4694" w:rsidRPr="008D335C" w:rsidRDefault="007B4694" w:rsidP="00322198">
                            <w:pPr>
                              <w:rPr>
                                <w:rFonts w:ascii="Arial" w:hAnsi="Arial" w:cs="Arial"/>
                                <w:b/>
                                <w:color w:val="808080" w:themeColor="background1" w:themeShade="80"/>
                                <w:sz w:val="36"/>
                                <w:szCs w:val="36"/>
                              </w:rPr>
                            </w:pPr>
                            <w:r>
                              <w:rPr>
                                <w:rFonts w:ascii="Arial" w:hAnsi="Arial" w:cs="Arial"/>
                                <w:b/>
                                <w:color w:val="000000"/>
                                <w:sz w:val="36"/>
                                <w:szCs w:val="36"/>
                              </w:rPr>
                              <w:t>ERC Research Paper No.</w:t>
                            </w:r>
                            <w:r w:rsidR="00CC3716">
                              <w:rPr>
                                <w:rFonts w:ascii="Arial" w:hAnsi="Arial" w:cs="Arial"/>
                                <w:b/>
                                <w:color w:val="000000"/>
                                <w:sz w:val="36"/>
                                <w:szCs w:val="36"/>
                              </w:rPr>
                              <w:t xml:space="preserve"> 2</w:t>
                            </w:r>
                            <w:r w:rsidR="00103DEC">
                              <w:rPr>
                                <w:rFonts w:ascii="Arial" w:hAnsi="Arial" w:cs="Arial"/>
                                <w:b/>
                                <w:color w:val="000000"/>
                                <w:sz w:val="36"/>
                                <w:szCs w:val="36"/>
                              </w:rPr>
                              <w:t>1</w:t>
                            </w:r>
                          </w:p>
                          <w:p w:rsidR="007B4694" w:rsidRPr="00C543E5" w:rsidRDefault="007B4694" w:rsidP="00322198">
                            <w:pPr>
                              <w:rPr>
                                <w:rFonts w:ascii="Arial" w:hAnsi="Arial" w:cs="Arial"/>
                                <w:b/>
                                <w:color w:val="000000"/>
                                <w:sz w:val="36"/>
                                <w:szCs w:val="36"/>
                              </w:rPr>
                            </w:pPr>
                          </w:p>
                          <w:p w:rsidR="007B4694" w:rsidRPr="008D335C" w:rsidRDefault="00CC3716" w:rsidP="00322198">
                            <w:pPr>
                              <w:rPr>
                                <w:rFonts w:ascii="Arial" w:hAnsi="Arial" w:cs="Arial"/>
                                <w:b/>
                                <w:color w:val="808080" w:themeColor="background1" w:themeShade="80"/>
                                <w:sz w:val="36"/>
                                <w:szCs w:val="36"/>
                              </w:rPr>
                            </w:pPr>
                            <w:r>
                              <w:rPr>
                                <w:rFonts w:ascii="Arial" w:hAnsi="Arial" w:cs="Arial"/>
                                <w:b/>
                                <w:color w:val="000000"/>
                                <w:sz w:val="36"/>
                                <w:szCs w:val="36"/>
                              </w:rPr>
                              <w:t>July 2014</w:t>
                            </w:r>
                          </w:p>
                          <w:p w:rsidR="007B4694" w:rsidRPr="00C06A91" w:rsidRDefault="007B4694" w:rsidP="00322198">
                            <w:pPr>
                              <w:rPr>
                                <w:rFonts w:ascii="Arial" w:hAnsi="Arial" w:cs="Arial"/>
                                <w:b/>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9.75pt;margin-top:84.6pt;width:492.2pt;height:4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" filled="f" stroked="f">
                <v:textbox>
                  <w:txbxContent>
                    <w:p w:rsidR="007B4694" w:rsidRDefault="007B4694" w:rsidP="007B4694">
                      <w:pPr>
                        <w:rPr>
                          <w:rFonts w:ascii="Arial" w:hAnsi="Arial" w:cs="Arial"/>
                          <w:b/>
                          <w:sz w:val="48"/>
                          <w:szCs w:val="48"/>
                        </w:rPr>
                      </w:pPr>
                      <w:r w:rsidRPr="007B4694">
                        <w:rPr>
                          <w:rFonts w:ascii="Arial" w:hAnsi="Arial" w:cs="Arial"/>
                          <w:b/>
                          <w:sz w:val="48"/>
                          <w:szCs w:val="48"/>
                        </w:rPr>
                        <w:t xml:space="preserve">The legacy of public subsidies for innovation: input, output and </w:t>
                      </w:r>
                    </w:p>
                    <w:p w:rsidR="007B4694" w:rsidRPr="007B4694" w:rsidRDefault="007B4694" w:rsidP="007B4694">
                      <w:pPr>
                        <w:rPr>
                          <w:rFonts w:ascii="Arial" w:hAnsi="Arial" w:cs="Arial"/>
                          <w:b/>
                          <w:sz w:val="48"/>
                          <w:szCs w:val="48"/>
                        </w:rPr>
                      </w:pPr>
                      <w:r w:rsidRPr="007B4694">
                        <w:rPr>
                          <w:rFonts w:ascii="Arial" w:hAnsi="Arial" w:cs="Arial"/>
                          <w:b/>
                          <w:sz w:val="48"/>
                          <w:szCs w:val="48"/>
                        </w:rPr>
                        <w:t>behavioural additionality effects</w:t>
                      </w:r>
                    </w:p>
                    <w:p w:rsidR="007B4694" w:rsidRDefault="007B4694" w:rsidP="007B4694">
                      <w:pPr>
                        <w:spacing w:after="300"/>
                        <w:rPr>
                          <w:rFonts w:ascii="Arial" w:hAnsi="Arial" w:cs="Arial"/>
                          <w:b/>
                          <w:sz w:val="60"/>
                          <w:szCs w:val="60"/>
                        </w:rPr>
                      </w:pPr>
                    </w:p>
                    <w:p w:rsidR="007B4694" w:rsidRPr="00DE12D0" w:rsidRDefault="007B4694" w:rsidP="007B4694">
                      <w:pPr>
                        <w:spacing w:after="300"/>
                        <w:rPr>
                          <w:rFonts w:ascii="Arial" w:hAnsi="Arial" w:cs="Arial"/>
                          <w:b/>
                          <w:sz w:val="60"/>
                          <w:szCs w:val="60"/>
                        </w:rPr>
                      </w:pPr>
                    </w:p>
                    <w:p w:rsidR="007B4694" w:rsidRDefault="007B4694" w:rsidP="00BB22AF">
                      <w:pPr>
                        <w:rPr>
                          <w:rFonts w:ascii="Arial" w:hAnsi="Arial" w:cs="Arial"/>
                          <w:b/>
                          <w:sz w:val="44"/>
                          <w:szCs w:val="44"/>
                        </w:rPr>
                      </w:pPr>
                      <w:r w:rsidRPr="00BB22AF">
                        <w:rPr>
                          <w:rFonts w:ascii="Arial" w:hAnsi="Arial" w:cs="Arial"/>
                          <w:b/>
                          <w:sz w:val="44"/>
                          <w:szCs w:val="44"/>
                        </w:rPr>
                        <w:t>Stephen Roper</w:t>
                      </w:r>
                      <w:r>
                        <w:rPr>
                          <w:rFonts w:ascii="Arial" w:hAnsi="Arial" w:cs="Arial"/>
                          <w:b/>
                          <w:sz w:val="44"/>
                          <w:szCs w:val="44"/>
                        </w:rPr>
                        <w:t xml:space="preserve"> and</w:t>
                      </w:r>
                    </w:p>
                    <w:p w:rsidR="007B4694" w:rsidRPr="00BB22AF" w:rsidRDefault="007B4694" w:rsidP="00BB22AF">
                      <w:pPr>
                        <w:rPr>
                          <w:rFonts w:ascii="Arial" w:hAnsi="Arial" w:cs="Arial"/>
                          <w:b/>
                          <w:sz w:val="44"/>
                          <w:szCs w:val="44"/>
                        </w:rPr>
                      </w:pPr>
                      <w:r w:rsidRPr="00BB22AF">
                        <w:rPr>
                          <w:rFonts w:ascii="Arial" w:hAnsi="Arial" w:cs="Arial"/>
                          <w:b/>
                          <w:sz w:val="44"/>
                          <w:szCs w:val="44"/>
                        </w:rPr>
                        <w:t xml:space="preserve">Nola Hewitt-Dundas </w:t>
                      </w:r>
                    </w:p>
                    <w:p w:rsidR="007B4694" w:rsidRPr="00C543E5" w:rsidRDefault="007B4694" w:rsidP="00322198">
                      <w:pPr>
                        <w:rPr>
                          <w:rFonts w:ascii="Arial" w:hAnsi="Arial" w:cs="Arial"/>
                          <w:b/>
                          <w:color w:val="000000"/>
                          <w:sz w:val="36"/>
                          <w:szCs w:val="36"/>
                        </w:rPr>
                      </w:pPr>
                    </w:p>
                    <w:p w:rsidR="007B4694" w:rsidRDefault="007B4694" w:rsidP="00322198">
                      <w:pPr>
                        <w:rPr>
                          <w:rFonts w:ascii="Arial" w:hAnsi="Arial" w:cs="Arial"/>
                          <w:b/>
                          <w:color w:val="000000"/>
                          <w:sz w:val="36"/>
                          <w:szCs w:val="36"/>
                        </w:rPr>
                      </w:pPr>
                    </w:p>
                    <w:p w:rsidR="007B4694" w:rsidRDefault="007B4694" w:rsidP="00322198">
                      <w:pPr>
                        <w:rPr>
                          <w:rFonts w:ascii="Arial" w:hAnsi="Arial" w:cs="Arial"/>
                          <w:b/>
                          <w:color w:val="000000"/>
                          <w:sz w:val="36"/>
                          <w:szCs w:val="36"/>
                        </w:rPr>
                      </w:pPr>
                    </w:p>
                    <w:p w:rsidR="007B4694" w:rsidRPr="008D335C" w:rsidRDefault="007B4694" w:rsidP="00322198">
                      <w:pPr>
                        <w:rPr>
                          <w:rFonts w:ascii="Arial" w:hAnsi="Arial" w:cs="Arial"/>
                          <w:b/>
                          <w:color w:val="808080" w:themeColor="background1" w:themeShade="80"/>
                          <w:sz w:val="36"/>
                          <w:szCs w:val="36"/>
                        </w:rPr>
                      </w:pPr>
                      <w:r>
                        <w:rPr>
                          <w:rFonts w:ascii="Arial" w:hAnsi="Arial" w:cs="Arial"/>
                          <w:b/>
                          <w:color w:val="000000"/>
                          <w:sz w:val="36"/>
                          <w:szCs w:val="36"/>
                        </w:rPr>
                        <w:t>ERC Research Paper No.</w:t>
                      </w:r>
                      <w:r w:rsidR="00CC3716">
                        <w:rPr>
                          <w:rFonts w:ascii="Arial" w:hAnsi="Arial" w:cs="Arial"/>
                          <w:b/>
                          <w:color w:val="000000"/>
                          <w:sz w:val="36"/>
                          <w:szCs w:val="36"/>
                        </w:rPr>
                        <w:t xml:space="preserve"> 2</w:t>
                      </w:r>
                      <w:r w:rsidR="00103DEC">
                        <w:rPr>
                          <w:rFonts w:ascii="Arial" w:hAnsi="Arial" w:cs="Arial"/>
                          <w:b/>
                          <w:color w:val="000000"/>
                          <w:sz w:val="36"/>
                          <w:szCs w:val="36"/>
                        </w:rPr>
                        <w:t>1</w:t>
                      </w:r>
                    </w:p>
                    <w:p w:rsidR="007B4694" w:rsidRPr="00C543E5" w:rsidRDefault="007B4694" w:rsidP="00322198">
                      <w:pPr>
                        <w:rPr>
                          <w:rFonts w:ascii="Arial" w:hAnsi="Arial" w:cs="Arial"/>
                          <w:b/>
                          <w:color w:val="000000"/>
                          <w:sz w:val="36"/>
                          <w:szCs w:val="36"/>
                        </w:rPr>
                      </w:pPr>
                    </w:p>
                    <w:p w:rsidR="007B4694" w:rsidRPr="008D335C" w:rsidRDefault="00CC3716" w:rsidP="00322198">
                      <w:pPr>
                        <w:rPr>
                          <w:rFonts w:ascii="Arial" w:hAnsi="Arial" w:cs="Arial"/>
                          <w:b/>
                          <w:color w:val="808080" w:themeColor="background1" w:themeShade="80"/>
                          <w:sz w:val="36"/>
                          <w:szCs w:val="36"/>
                        </w:rPr>
                      </w:pPr>
                      <w:r>
                        <w:rPr>
                          <w:rFonts w:ascii="Arial" w:hAnsi="Arial" w:cs="Arial"/>
                          <w:b/>
                          <w:color w:val="000000"/>
                          <w:sz w:val="36"/>
                          <w:szCs w:val="36"/>
                        </w:rPr>
                        <w:t>July 2014</w:t>
                      </w:r>
                    </w:p>
                    <w:p w:rsidR="007B4694" w:rsidRPr="00C06A91" w:rsidRDefault="007B4694" w:rsidP="00322198">
                      <w:pPr>
                        <w:rPr>
                          <w:rFonts w:ascii="Arial" w:hAnsi="Arial" w:cs="Arial"/>
                          <w:b/>
                          <w:sz w:val="42"/>
                          <w:szCs w:val="42"/>
                        </w:rPr>
                      </w:pPr>
                    </w:p>
                  </w:txbxContent>
                </v:textbox>
                <w10:wrap type="square"/>
              </v:shape>
            </w:pict>
          </mc:Fallback>
        </mc:AlternateContent>
      </w:r>
      <w:r w:rsidR="002317C6" w:rsidRPr="002F63DC">
        <w:rPr>
          <w:rFonts w:ascii="Swis721 Th BT" w:hAnsi="Swis721 Th BT"/>
          <w:noProof/>
          <w:sz w:val="48"/>
          <w:lang w:val="en-GB" w:eastAsia="en-GB"/>
        </w:rPr>
        <w:drawing>
          <wp:anchor distT="0" distB="0" distL="114300" distR="114300" simplePos="0" relativeHeight="251659264" behindDoc="0" locked="0" layoutInCell="1" allowOverlap="1" wp14:anchorId="66975EF1" wp14:editId="5822385D">
            <wp:simplePos x="0" y="0"/>
            <wp:positionH relativeFrom="column">
              <wp:posOffset>1308735</wp:posOffset>
            </wp:positionH>
            <wp:positionV relativeFrom="paragraph">
              <wp:posOffset>-1899920</wp:posOffset>
            </wp:positionV>
            <wp:extent cx="7595235" cy="10744200"/>
            <wp:effectExtent l="0" t="0" r="0" b="0"/>
            <wp:wrapSquare wrapText="bothSides"/>
            <wp:docPr id="2" name="Picture 2" descr="New Mac HD:Users:issumc:Pictures:ERC-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Mac HD:Users:issumc:Pictures:ERC-Fro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23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CC1">
        <w:rPr>
          <w:noProof/>
          <w:lang w:val="en-GB" w:eastAsia="en-GB"/>
        </w:rPr>
        <mc:AlternateContent>
          <mc:Choice Requires="wps">
            <w:drawing>
              <wp:anchor distT="0" distB="0" distL="114300" distR="114300" simplePos="0" relativeHeight="251658240" behindDoc="0" locked="0" layoutInCell="1" allowOverlap="1" wp14:anchorId="58E297CA" wp14:editId="07E5FF78">
                <wp:simplePos x="0" y="0"/>
                <wp:positionH relativeFrom="column">
                  <wp:posOffset>-233680</wp:posOffset>
                </wp:positionH>
                <wp:positionV relativeFrom="paragraph">
                  <wp:posOffset>163195</wp:posOffset>
                </wp:positionV>
                <wp:extent cx="3200400" cy="4318000"/>
                <wp:effectExtent l="0" t="0" r="5080" b="1905"/>
                <wp:wrapTight wrapText="bothSides">
                  <wp:wrapPolygon edited="0">
                    <wp:start x="0" y="0"/>
                    <wp:lineTo x="21600" y="0"/>
                    <wp:lineTo x="21600" y="21600"/>
                    <wp:lineTo x="0" y="21600"/>
                    <wp:lineTo x="0" y="0"/>
                  </wp:wrapPolygon>
                </wp:wrapTight>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1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694" w:rsidRPr="00CF6C51" w:rsidRDefault="007B4694" w:rsidP="00133CE8">
                            <w:pPr>
                              <w:ind w:right="43"/>
                              <w:rPr>
                                <w:rFonts w:ascii="Arial" w:hAnsi="Arial"/>
                                <w:b/>
                                <w:color w:val="FFFFFF"/>
                                <w:sz w:val="36"/>
                                <w:lang w:val="en-GB"/>
                              </w:rPr>
                            </w:pPr>
                            <w:r w:rsidRPr="00CF6C51">
                              <w:rPr>
                                <w:rFonts w:ascii="Arial" w:hAnsi="Arial"/>
                                <w:b/>
                                <w:color w:val="FFFFFF"/>
                                <w:sz w:val="36"/>
                                <w:lang w:val="en-GB"/>
                              </w:rPr>
                              <w:t>PAGE TITLE HERE</w:t>
                            </w:r>
                          </w:p>
                          <w:p w:rsidR="007B4694" w:rsidRDefault="007B4694" w:rsidP="00133CE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18.4pt;margin-top:12.85pt;width:252pt;height:3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" filled="f" stroked="f">
                <v:textbox inset=",7.2pt,,7.2pt">
                  <w:txbxContent>
                    <w:p w:rsidR="007B4694" w:rsidRPr="00CF6C51" w:rsidRDefault="007B4694" w:rsidP="00133CE8">
                      <w:pPr>
                        <w:ind w:right="43"/>
                        <w:rPr>
                          <w:rFonts w:ascii="Arial" w:hAnsi="Arial"/>
                          <w:b/>
                          <w:color w:val="FFFFFF"/>
                          <w:sz w:val="36"/>
                          <w:lang w:val="en-GB"/>
                        </w:rPr>
                      </w:pPr>
                      <w:r w:rsidRPr="00CF6C51">
                        <w:rPr>
                          <w:rFonts w:ascii="Arial" w:hAnsi="Arial"/>
                          <w:b/>
                          <w:color w:val="FFFFFF"/>
                          <w:sz w:val="36"/>
                          <w:lang w:val="en-GB"/>
                        </w:rPr>
                        <w:t>PAGE TITLE HERE</w:t>
                      </w:r>
                    </w:p>
                    <w:p w:rsidR="007B4694" w:rsidRDefault="007B4694" w:rsidP="00133CE8"/>
                  </w:txbxContent>
                </v:textbox>
                <w10:wrap type="tight"/>
              </v:shape>
            </w:pict>
          </mc:Fallback>
        </mc:AlternateContent>
      </w:r>
    </w:p>
    <w:p w:rsidR="001841C0" w:rsidRDefault="001841C0" w:rsidP="002317C6">
      <w:pPr>
        <w:rPr>
          <w:rFonts w:ascii="Arial" w:hAnsi="Arial"/>
          <w:b/>
          <w:color w:val="002A4C"/>
          <w:sz w:val="44"/>
          <w:szCs w:val="44"/>
        </w:rPr>
      </w:pPr>
    </w:p>
    <w:p w:rsidR="00322198" w:rsidRPr="00C94C79" w:rsidRDefault="00322198" w:rsidP="00322198">
      <w:pPr>
        <w:rPr>
          <w:rFonts w:ascii="Arial" w:hAnsi="Arial"/>
          <w:b/>
          <w:color w:val="002A4C"/>
          <w:sz w:val="22"/>
          <w:szCs w:val="22"/>
        </w:rPr>
      </w:pPr>
    </w:p>
    <w:p w:rsidR="00322198" w:rsidRPr="00797DC1" w:rsidRDefault="00322198" w:rsidP="00322198">
      <w:pPr>
        <w:pBdr>
          <w:top w:val="single" w:sz="4" w:space="1" w:color="auto"/>
          <w:left w:val="single" w:sz="4" w:space="4" w:color="auto"/>
          <w:bottom w:val="single" w:sz="4" w:space="1" w:color="auto"/>
          <w:right w:val="single" w:sz="4" w:space="4" w:color="auto"/>
        </w:pBdr>
        <w:shd w:val="clear" w:color="auto" w:fill="D9D9D9"/>
        <w:jc w:val="center"/>
        <w:rPr>
          <w:rFonts w:cs="Arial"/>
          <w:b/>
          <w:sz w:val="16"/>
          <w:szCs w:val="16"/>
        </w:rPr>
      </w:pPr>
    </w:p>
    <w:p w:rsidR="00BB22AF" w:rsidRPr="00BB22AF" w:rsidRDefault="00BB22AF" w:rsidP="00BB22AF">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z w:val="40"/>
          <w:szCs w:val="40"/>
          <w:lang w:val="en-GB"/>
        </w:rPr>
      </w:pPr>
      <w:r w:rsidRPr="00BB22AF">
        <w:rPr>
          <w:rFonts w:ascii="Arial" w:hAnsi="Arial" w:cs="Arial"/>
          <w:b/>
          <w:sz w:val="40"/>
          <w:szCs w:val="40"/>
          <w:lang w:val="en-GB"/>
        </w:rPr>
        <w:t xml:space="preserve">The legacy of public subsidies for innovation: input, output and behavioural additionality effects </w:t>
      </w:r>
    </w:p>
    <w:p w:rsidR="00322198" w:rsidRPr="00797DC1" w:rsidRDefault="00322198" w:rsidP="00322198">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z w:val="16"/>
          <w:szCs w:val="16"/>
        </w:rPr>
      </w:pPr>
    </w:p>
    <w:p w:rsidR="00322198" w:rsidRPr="00991181" w:rsidRDefault="00322198" w:rsidP="00322198">
      <w:pPr>
        <w:ind w:firstLine="720"/>
        <w:jc w:val="center"/>
        <w:rPr>
          <w:rFonts w:ascii="Arial" w:hAnsi="Arial" w:cs="Arial"/>
          <w:b/>
          <w:sz w:val="22"/>
          <w:szCs w:val="22"/>
        </w:rPr>
      </w:pPr>
    </w:p>
    <w:p w:rsidR="00322198" w:rsidRDefault="00322198" w:rsidP="00322198">
      <w:pPr>
        <w:ind w:firstLine="720"/>
        <w:jc w:val="center"/>
        <w:rPr>
          <w:rFonts w:ascii="Arial" w:hAnsi="Arial" w:cs="Arial"/>
          <w:b/>
          <w:sz w:val="22"/>
          <w:szCs w:val="22"/>
        </w:rPr>
      </w:pPr>
    </w:p>
    <w:p w:rsidR="00FD7EFC" w:rsidRDefault="00FD7EFC" w:rsidP="00322198">
      <w:pPr>
        <w:ind w:firstLine="720"/>
        <w:jc w:val="center"/>
        <w:rPr>
          <w:rFonts w:ascii="Arial" w:hAnsi="Arial" w:cs="Arial"/>
          <w:b/>
          <w:sz w:val="22"/>
          <w:szCs w:val="22"/>
        </w:rPr>
      </w:pPr>
    </w:p>
    <w:p w:rsidR="00FD7EFC" w:rsidRDefault="00FD7EFC" w:rsidP="00322198">
      <w:pPr>
        <w:ind w:firstLine="720"/>
        <w:jc w:val="center"/>
        <w:rPr>
          <w:rFonts w:ascii="Arial" w:hAnsi="Arial" w:cs="Arial"/>
          <w:b/>
          <w:sz w:val="22"/>
          <w:szCs w:val="22"/>
        </w:rPr>
      </w:pPr>
    </w:p>
    <w:p w:rsidR="00FD7EFC" w:rsidRDefault="00FD7EFC" w:rsidP="00322198">
      <w:pPr>
        <w:ind w:firstLine="720"/>
        <w:jc w:val="center"/>
        <w:rPr>
          <w:rFonts w:ascii="Arial" w:hAnsi="Arial" w:cs="Arial"/>
          <w:b/>
          <w:sz w:val="22"/>
          <w:szCs w:val="22"/>
        </w:rPr>
      </w:pPr>
    </w:p>
    <w:p w:rsidR="00133CE8" w:rsidRPr="00E96F51" w:rsidRDefault="00133CE8">
      <w:pPr>
        <w:rPr>
          <w:rFonts w:ascii="Arial" w:hAnsi="Arial"/>
          <w:sz w:val="18"/>
        </w:rPr>
      </w:pPr>
    </w:p>
    <w:p w:rsidR="00C26DE3" w:rsidRPr="00C26DE3" w:rsidRDefault="00C26DE3" w:rsidP="00C26DE3">
      <w:pPr>
        <w:jc w:val="center"/>
        <w:rPr>
          <w:rFonts w:ascii="Arial" w:hAnsi="Arial" w:cs="Arial"/>
          <w:b/>
          <w:sz w:val="22"/>
          <w:szCs w:val="22"/>
        </w:rPr>
      </w:pPr>
      <w:r w:rsidRPr="00C26DE3">
        <w:rPr>
          <w:rFonts w:ascii="Arial" w:hAnsi="Arial" w:cs="Arial"/>
          <w:b/>
          <w:sz w:val="22"/>
          <w:szCs w:val="22"/>
        </w:rPr>
        <w:t xml:space="preserve">Stephen Roper </w:t>
      </w:r>
    </w:p>
    <w:p w:rsidR="00C26DE3" w:rsidRPr="00C26DE3" w:rsidRDefault="00C26DE3" w:rsidP="00C26DE3">
      <w:pPr>
        <w:jc w:val="center"/>
        <w:rPr>
          <w:rFonts w:ascii="Arial" w:hAnsi="Arial" w:cs="Arial"/>
          <w:sz w:val="22"/>
          <w:szCs w:val="22"/>
        </w:rPr>
      </w:pPr>
      <w:r w:rsidRPr="00C26DE3">
        <w:rPr>
          <w:rFonts w:ascii="Arial" w:hAnsi="Arial" w:cs="Arial"/>
          <w:sz w:val="22"/>
          <w:szCs w:val="22"/>
        </w:rPr>
        <w:t>Enterprise Research Centre and Warwick Business School,</w:t>
      </w:r>
    </w:p>
    <w:p w:rsidR="007B4694" w:rsidRDefault="007B4694" w:rsidP="00C26DE3">
      <w:pPr>
        <w:jc w:val="center"/>
        <w:rPr>
          <w:rFonts w:ascii="Arial" w:hAnsi="Arial" w:cs="Arial"/>
          <w:sz w:val="22"/>
          <w:szCs w:val="22"/>
        </w:rPr>
      </w:pPr>
      <w:r>
        <w:rPr>
          <w:rFonts w:ascii="Arial" w:hAnsi="Arial" w:cs="Arial"/>
          <w:sz w:val="22"/>
          <w:szCs w:val="22"/>
        </w:rPr>
        <w:t>University of Warwick,</w:t>
      </w:r>
    </w:p>
    <w:p w:rsidR="00C26DE3" w:rsidRDefault="00C26DE3" w:rsidP="00C26DE3">
      <w:pPr>
        <w:jc w:val="center"/>
        <w:rPr>
          <w:rFonts w:ascii="Arial" w:hAnsi="Arial" w:cs="Arial"/>
          <w:sz w:val="22"/>
          <w:szCs w:val="22"/>
        </w:rPr>
      </w:pPr>
      <w:r w:rsidRPr="00C26DE3">
        <w:rPr>
          <w:rFonts w:ascii="Arial" w:hAnsi="Arial" w:cs="Arial"/>
          <w:sz w:val="22"/>
          <w:szCs w:val="22"/>
        </w:rPr>
        <w:t>Coventry, CV4 7AL</w:t>
      </w:r>
    </w:p>
    <w:p w:rsidR="00C26DE3" w:rsidRDefault="00C26DE3" w:rsidP="00C26DE3">
      <w:pPr>
        <w:jc w:val="center"/>
        <w:rPr>
          <w:rFonts w:ascii="Arial" w:hAnsi="Arial" w:cs="Arial"/>
          <w:sz w:val="22"/>
          <w:szCs w:val="22"/>
        </w:rPr>
      </w:pPr>
    </w:p>
    <w:p w:rsidR="00C26DE3" w:rsidRPr="00C26DE3" w:rsidRDefault="00C26DE3" w:rsidP="00C26DE3">
      <w:pPr>
        <w:jc w:val="center"/>
        <w:rPr>
          <w:rFonts w:ascii="Arial" w:hAnsi="Arial" w:cs="Arial"/>
          <w:sz w:val="22"/>
          <w:szCs w:val="22"/>
        </w:rPr>
      </w:pPr>
      <w:r w:rsidRPr="00C26DE3">
        <w:rPr>
          <w:rFonts w:ascii="Arial" w:hAnsi="Arial" w:cs="Arial"/>
          <w:b/>
          <w:sz w:val="22"/>
          <w:szCs w:val="22"/>
        </w:rPr>
        <w:t>Nola Hewitt-Dundas</w:t>
      </w:r>
    </w:p>
    <w:p w:rsidR="007B4694" w:rsidRDefault="00C26DE3" w:rsidP="00C26DE3">
      <w:pPr>
        <w:jc w:val="center"/>
        <w:rPr>
          <w:rFonts w:ascii="Arial" w:hAnsi="Arial" w:cs="Arial"/>
          <w:sz w:val="22"/>
          <w:szCs w:val="22"/>
        </w:rPr>
      </w:pPr>
      <w:r w:rsidRPr="00C26DE3">
        <w:rPr>
          <w:rFonts w:ascii="Arial" w:hAnsi="Arial" w:cs="Arial"/>
          <w:sz w:val="22"/>
          <w:szCs w:val="22"/>
        </w:rPr>
        <w:t xml:space="preserve">Queen's University Management School, </w:t>
      </w:r>
    </w:p>
    <w:p w:rsidR="00C26DE3" w:rsidRPr="00C26DE3" w:rsidRDefault="00C26DE3" w:rsidP="00C26DE3">
      <w:pPr>
        <w:jc w:val="center"/>
        <w:rPr>
          <w:rFonts w:ascii="Arial" w:hAnsi="Arial" w:cs="Arial"/>
          <w:sz w:val="22"/>
          <w:szCs w:val="22"/>
        </w:rPr>
      </w:pPr>
      <w:r w:rsidRPr="00C26DE3">
        <w:rPr>
          <w:rFonts w:ascii="Arial" w:hAnsi="Arial" w:cs="Arial"/>
          <w:sz w:val="22"/>
          <w:szCs w:val="22"/>
        </w:rPr>
        <w:t>Queen’s University Belfast,</w:t>
      </w:r>
    </w:p>
    <w:p w:rsidR="00C26DE3" w:rsidRPr="00C26DE3" w:rsidRDefault="00C26DE3" w:rsidP="00C26DE3">
      <w:pPr>
        <w:jc w:val="center"/>
        <w:rPr>
          <w:rFonts w:ascii="Arial" w:hAnsi="Arial" w:cs="Arial"/>
          <w:sz w:val="22"/>
          <w:szCs w:val="22"/>
        </w:rPr>
      </w:pPr>
      <w:r w:rsidRPr="00C26DE3">
        <w:rPr>
          <w:rFonts w:ascii="Arial" w:hAnsi="Arial" w:cs="Arial"/>
          <w:sz w:val="22"/>
          <w:szCs w:val="22"/>
        </w:rPr>
        <w:t>Belfast, BT9 5EE</w:t>
      </w:r>
    </w:p>
    <w:p w:rsidR="00C20FC6" w:rsidRPr="00C26DE3" w:rsidRDefault="00C20FC6" w:rsidP="00C20FC6">
      <w:pPr>
        <w:spacing w:after="300" w:line="360" w:lineRule="auto"/>
        <w:ind w:right="-111"/>
        <w:jc w:val="center"/>
        <w:rPr>
          <w:rFonts w:ascii="Arial" w:hAnsi="Arial" w:cs="Arial"/>
          <w:color w:val="000000" w:themeColor="text1"/>
          <w:sz w:val="22"/>
          <w:szCs w:val="22"/>
          <w:lang w:val="en-GB"/>
        </w:rPr>
      </w:pPr>
    </w:p>
    <w:p w:rsidR="00322198" w:rsidRDefault="00322198" w:rsidP="00C20FC6">
      <w:pPr>
        <w:spacing w:after="300" w:line="360" w:lineRule="auto"/>
        <w:ind w:right="-111"/>
        <w:jc w:val="center"/>
        <w:rPr>
          <w:rFonts w:ascii="Arial" w:hAnsi="Arial" w:cs="Arial"/>
          <w:color w:val="000000" w:themeColor="text1"/>
          <w:sz w:val="22"/>
          <w:szCs w:val="22"/>
          <w:lang w:val="en-GB"/>
        </w:rPr>
      </w:pPr>
    </w:p>
    <w:p w:rsidR="00322198" w:rsidRDefault="00322198" w:rsidP="00322198">
      <w:pPr>
        <w:rPr>
          <w:rFonts w:ascii="Arial" w:hAnsi="Arial"/>
          <w:sz w:val="18"/>
        </w:rPr>
      </w:pPr>
    </w:p>
    <w:p w:rsidR="00322198" w:rsidRDefault="00322198" w:rsidP="00322198">
      <w:pPr>
        <w:rPr>
          <w:rFonts w:ascii="Arial" w:hAnsi="Arial"/>
          <w:sz w:val="18"/>
        </w:rPr>
      </w:pPr>
    </w:p>
    <w:p w:rsidR="00322198" w:rsidRDefault="00322198" w:rsidP="00322198">
      <w:pPr>
        <w:rPr>
          <w:rFonts w:ascii="Arial" w:hAnsi="Arial"/>
          <w:sz w:val="18"/>
        </w:rPr>
      </w:pPr>
    </w:p>
    <w:p w:rsidR="00322198" w:rsidRDefault="00322198" w:rsidP="00322198">
      <w:pPr>
        <w:rPr>
          <w:rFonts w:ascii="Arial" w:hAnsi="Arial"/>
          <w:sz w:val="18"/>
        </w:rPr>
      </w:pPr>
    </w:p>
    <w:p w:rsidR="00FD7EFC" w:rsidRDefault="00FD7EFC" w:rsidP="00322198">
      <w:pPr>
        <w:rPr>
          <w:rFonts w:ascii="Arial" w:hAnsi="Arial"/>
          <w:sz w:val="18"/>
        </w:rPr>
      </w:pPr>
    </w:p>
    <w:p w:rsidR="00524B02" w:rsidRDefault="00524B02" w:rsidP="00322198">
      <w:pPr>
        <w:rPr>
          <w:rFonts w:ascii="Arial" w:hAnsi="Arial"/>
          <w:sz w:val="18"/>
        </w:rPr>
      </w:pPr>
    </w:p>
    <w:p w:rsidR="00322198" w:rsidRDefault="00322198" w:rsidP="00322198">
      <w:pPr>
        <w:rPr>
          <w:rFonts w:ascii="Arial" w:hAnsi="Arial"/>
          <w:sz w:val="18"/>
        </w:rPr>
      </w:pPr>
    </w:p>
    <w:p w:rsidR="00322198" w:rsidRDefault="00322198" w:rsidP="00322198">
      <w:pPr>
        <w:rPr>
          <w:rFonts w:ascii="Arial" w:hAnsi="Arial"/>
          <w:sz w:val="18"/>
        </w:rPr>
      </w:pPr>
    </w:p>
    <w:p w:rsidR="00322198" w:rsidRDefault="00322198" w:rsidP="00322198">
      <w:pPr>
        <w:rPr>
          <w:rFonts w:ascii="Arial" w:hAnsi="Arial"/>
          <w:sz w:val="18"/>
        </w:rPr>
      </w:pPr>
    </w:p>
    <w:p w:rsidR="00322198" w:rsidRDefault="00322198" w:rsidP="00322198">
      <w:pPr>
        <w:rPr>
          <w:rFonts w:ascii="Arial" w:hAnsi="Arial"/>
          <w:sz w:val="18"/>
        </w:rPr>
      </w:pPr>
    </w:p>
    <w:p w:rsidR="00322198" w:rsidRDefault="00322198" w:rsidP="00322198">
      <w:pPr>
        <w:rPr>
          <w:rFonts w:ascii="Arial" w:hAnsi="Arial"/>
          <w:sz w:val="18"/>
        </w:rPr>
      </w:pPr>
    </w:p>
    <w:p w:rsidR="00322198" w:rsidRDefault="00322198" w:rsidP="00322198">
      <w:pPr>
        <w:pStyle w:val="PlainText"/>
        <w:jc w:val="both"/>
        <w:rPr>
          <w:rFonts w:ascii="Arial" w:hAnsi="Arial" w:cs="Arial"/>
          <w:szCs w:val="22"/>
        </w:rPr>
      </w:pPr>
      <w:r w:rsidRPr="00991181">
        <w:rPr>
          <w:rFonts w:ascii="Arial" w:hAnsi="Arial" w:cs="Arial"/>
          <w:szCs w:val="22"/>
        </w:rPr>
        <w:t>This paper is published by the independent Enterprise Research Centre. The Enterprise Research Centre is a partnership between Warwick Business School, Aston Business School, Imperial College Business School, Strathclyde Business School, Birmingham Business School and De Montfort University. ERC is funded by the Economic and Social Research Council (ESRC); the Department for Business, Innovation &amp; Skills (BIS); the Technology Strategy Board (TSB); and, through the British Bankers Association (BBA), by the Royal Bank of Scotland PLC; Bank of Scotland; HSBC Bank PLC; Barclays Bank PLC and Lloyds TSB Bank PLC. The support of the funders is acknowledged. The views expressed are those of the authors and do not necessarily represent the views of the funders.</w:t>
      </w:r>
    </w:p>
    <w:p w:rsidR="008D335C" w:rsidRPr="007D7D04" w:rsidRDefault="00C20FC6" w:rsidP="007D7D04">
      <w:pPr>
        <w:pStyle w:val="Heading1"/>
        <w:rPr>
          <w:rFonts w:hint="eastAsia"/>
          <w:color w:val="808080" w:themeColor="background1" w:themeShade="80"/>
          <w:sz w:val="28"/>
          <w:szCs w:val="28"/>
        </w:rPr>
      </w:pPr>
      <w:r>
        <w:rPr>
          <w:rFonts w:eastAsia="Cambria"/>
          <w:sz w:val="22"/>
          <w:szCs w:val="22"/>
        </w:rPr>
        <w:br w:type="page"/>
      </w:r>
      <w:bookmarkStart w:id="1" w:name="_Toc391474603"/>
      <w:r w:rsidR="00FD7EFC" w:rsidRPr="007D7D04">
        <w:rPr>
          <w:sz w:val="28"/>
          <w:szCs w:val="28"/>
        </w:rPr>
        <w:lastRenderedPageBreak/>
        <w:t>ABSTRACT</w:t>
      </w:r>
      <w:bookmarkEnd w:id="1"/>
      <w:r w:rsidR="00FD7EFC" w:rsidRPr="007D7D04">
        <w:rPr>
          <w:color w:val="808080" w:themeColor="background1" w:themeShade="80"/>
          <w:sz w:val="28"/>
          <w:szCs w:val="28"/>
        </w:rPr>
        <w:t xml:space="preserve"> </w:t>
      </w:r>
    </w:p>
    <w:p w:rsidR="00524B02" w:rsidRPr="00524B02" w:rsidRDefault="00524B02" w:rsidP="00524B02">
      <w:pPr>
        <w:spacing w:after="300" w:line="360" w:lineRule="auto"/>
        <w:jc w:val="both"/>
        <w:rPr>
          <w:rFonts w:ascii="Arial" w:hAnsi="Arial" w:cs="Arial"/>
          <w:sz w:val="22"/>
          <w:szCs w:val="22"/>
        </w:rPr>
      </w:pPr>
      <w:r w:rsidRPr="00524B02">
        <w:rPr>
          <w:rFonts w:ascii="Arial" w:hAnsi="Arial" w:cs="Arial"/>
          <w:sz w:val="22"/>
          <w:szCs w:val="22"/>
        </w:rPr>
        <w:t xml:space="preserve">In many countries significant amounts of public funding are devoted to supporting firms’ R&amp;D and innovation projects. Here, using panel data on the innovation activities of Irish manufacturing firms we examine the legacy effects of public subsidies for new product development and R&amp;D. We examine five alternative mechanisms through which such effects may occur: input additionality, output additionality, and congenital, inter-organisational and experiential behavioural additionality. Tests suggest contrasting legacy effects with R&amp;D subsidies generating legacy output additionality effects while new product development subsidies have legacy congenital and inter-organisational behavioural additionality effects. Our results have implications for innovation policy design and evaluation. </w:t>
      </w:r>
    </w:p>
    <w:p w:rsidR="00524B02" w:rsidRPr="00524B02" w:rsidRDefault="00524B02" w:rsidP="00524B02">
      <w:pPr>
        <w:spacing w:after="300" w:line="360" w:lineRule="auto"/>
        <w:jc w:val="both"/>
        <w:rPr>
          <w:rFonts w:ascii="Arial" w:hAnsi="Arial" w:cs="Arial"/>
          <w:b/>
          <w:sz w:val="22"/>
          <w:szCs w:val="22"/>
        </w:rPr>
      </w:pPr>
      <w:r w:rsidRPr="00524B02">
        <w:rPr>
          <w:rFonts w:ascii="Arial" w:hAnsi="Arial" w:cs="Arial"/>
          <w:b/>
          <w:sz w:val="22"/>
          <w:szCs w:val="22"/>
        </w:rPr>
        <w:t>Acknowledgement</w:t>
      </w:r>
    </w:p>
    <w:p w:rsidR="00524B02" w:rsidRPr="00524B02" w:rsidRDefault="00524B02" w:rsidP="00524B02">
      <w:pPr>
        <w:autoSpaceDE w:val="0"/>
        <w:autoSpaceDN w:val="0"/>
        <w:adjustRightInd w:val="0"/>
        <w:spacing w:after="300" w:line="360" w:lineRule="auto"/>
        <w:jc w:val="both"/>
        <w:rPr>
          <w:rFonts w:ascii="Arial" w:eastAsia="Calibri" w:hAnsi="Arial" w:cs="Arial"/>
          <w:sz w:val="22"/>
          <w:szCs w:val="22"/>
        </w:rPr>
      </w:pPr>
      <w:r w:rsidRPr="00524B02">
        <w:rPr>
          <w:rFonts w:ascii="Arial" w:eastAsia="Calibri" w:hAnsi="Arial" w:cs="Arial"/>
          <w:sz w:val="22"/>
          <w:szCs w:val="22"/>
        </w:rPr>
        <w:t xml:space="preserve">This work has been supported by the Enterprise Research Centre (ERC), grant ES/K006614/1. The ERC is funded by the Economic and Social Research Council (ESRC), the Department for Business, Innovation &amp; Skills (BIS), the Technology Strategy Board (TSB) and, through the British Bankers Association (BBA), by the Royal Bank of Scotland PLC, HSBC Bank PLC, Barclays Bank PLC and Lloyds TSB Bank PLC. The support of the funders is gratefully acknowledged. The views expressed are those of the authors and do not necessarily represent the views of the ERC funders. Valuable comments on previous drafts of this paper were received from participants in seminars at the Manchester Institute of Innovation Research, the Economic and Social Research Institute (Dublin), and from participants in the 2013 Irish Academy of Management and Academy of Management conferences. </w:t>
      </w:r>
    </w:p>
    <w:p w:rsidR="00524B02" w:rsidRPr="00524B02" w:rsidRDefault="00524B02" w:rsidP="00524B02">
      <w:pPr>
        <w:spacing w:after="300" w:line="360" w:lineRule="auto"/>
        <w:jc w:val="both"/>
        <w:rPr>
          <w:rFonts w:ascii="Arial" w:hAnsi="Arial" w:cs="Arial"/>
          <w:sz w:val="22"/>
          <w:szCs w:val="22"/>
        </w:rPr>
      </w:pPr>
      <w:r w:rsidRPr="00524B02">
        <w:rPr>
          <w:rFonts w:ascii="Arial" w:hAnsi="Arial" w:cs="Arial"/>
          <w:b/>
          <w:sz w:val="22"/>
          <w:szCs w:val="22"/>
        </w:rPr>
        <w:t>Keywords:</w:t>
      </w:r>
      <w:r w:rsidRPr="00524B02">
        <w:rPr>
          <w:rFonts w:ascii="Arial" w:hAnsi="Arial" w:cs="Arial"/>
          <w:sz w:val="22"/>
          <w:szCs w:val="22"/>
        </w:rPr>
        <w:t xml:space="preserve"> innovation policy, additionality, evaluation, Ireland</w:t>
      </w:r>
    </w:p>
    <w:p w:rsidR="00524B02" w:rsidRPr="00524B02" w:rsidRDefault="00524B02" w:rsidP="00524B02">
      <w:pPr>
        <w:spacing w:after="300" w:line="360" w:lineRule="auto"/>
        <w:jc w:val="both"/>
        <w:rPr>
          <w:rFonts w:ascii="Arial" w:hAnsi="Arial" w:cs="Arial"/>
          <w:b/>
          <w:bCs/>
          <w:noProof/>
          <w:sz w:val="22"/>
          <w:szCs w:val="22"/>
        </w:rPr>
      </w:pPr>
      <w:r w:rsidRPr="00524B02">
        <w:rPr>
          <w:rFonts w:ascii="Arial" w:hAnsi="Arial" w:cs="Arial"/>
          <w:b/>
          <w:bCs/>
          <w:noProof/>
          <w:sz w:val="22"/>
          <w:szCs w:val="22"/>
        </w:rPr>
        <w:t xml:space="preserve">JEL Codes: </w:t>
      </w:r>
      <w:r w:rsidRPr="00524B02">
        <w:rPr>
          <w:rFonts w:ascii="Arial" w:hAnsi="Arial" w:cs="Arial"/>
          <w:bCs/>
          <w:noProof/>
          <w:sz w:val="22"/>
          <w:szCs w:val="22"/>
        </w:rPr>
        <w:t>O32, L1, O38; Q34; L26</w:t>
      </w:r>
    </w:p>
    <w:p w:rsidR="00524B02" w:rsidRPr="00524B02" w:rsidRDefault="00524B02" w:rsidP="00524B02">
      <w:pPr>
        <w:spacing w:after="300" w:line="360" w:lineRule="auto"/>
        <w:jc w:val="both"/>
        <w:rPr>
          <w:rFonts w:ascii="Arial" w:hAnsi="Arial" w:cs="Arial"/>
          <w:sz w:val="22"/>
          <w:szCs w:val="22"/>
        </w:rPr>
      </w:pPr>
    </w:p>
    <w:sdt>
      <w:sdtPr>
        <w:rPr>
          <w:rFonts w:ascii="Times New Roman" w:eastAsia="Times New Roman" w:hAnsi="Times New Roman" w:cs="Times New Roman"/>
          <w:b w:val="0"/>
          <w:bCs w:val="0"/>
          <w:color w:val="auto"/>
          <w:sz w:val="24"/>
          <w:szCs w:val="24"/>
        </w:rPr>
        <w:id w:val="716636172"/>
        <w:docPartObj>
          <w:docPartGallery w:val="Table of Contents"/>
          <w:docPartUnique/>
        </w:docPartObj>
      </w:sdtPr>
      <w:sdtEndPr>
        <w:rPr>
          <w:noProof/>
        </w:rPr>
      </w:sdtEndPr>
      <w:sdtContent>
        <w:p w:rsidR="004E6675" w:rsidRDefault="004E6675">
          <w:pPr>
            <w:pStyle w:val="TOCHeading"/>
            <w:rPr>
              <w:rFonts w:ascii="Arial" w:hAnsi="Arial" w:cs="Arial"/>
              <w:color w:val="auto"/>
            </w:rPr>
          </w:pPr>
          <w:r w:rsidRPr="004E6675">
            <w:rPr>
              <w:rFonts w:ascii="Arial" w:hAnsi="Arial" w:cs="Arial"/>
              <w:color w:val="auto"/>
            </w:rPr>
            <w:t>TABLE OF CONTENTS</w:t>
          </w:r>
        </w:p>
        <w:p w:rsidR="004E6675" w:rsidRDefault="004E6675" w:rsidP="004E6675"/>
        <w:p w:rsidR="004E6675" w:rsidRPr="004E6675" w:rsidRDefault="004E6675" w:rsidP="004E6675"/>
        <w:p w:rsidR="00C73979" w:rsidRDefault="004E6675">
          <w:pPr>
            <w:pStyle w:val="TOC1"/>
            <w:tabs>
              <w:tab w:val="right" w:leader="dot" w:pos="7339"/>
            </w:tabs>
            <w:rPr>
              <w:rStyle w:val="Hyperlink"/>
              <w:rFonts w:ascii="Arial" w:eastAsiaTheme="minorEastAsia" w:hAnsi="Arial" w:cs="Arial"/>
              <w:b w:val="0"/>
              <w:noProof/>
              <w:sz w:val="22"/>
              <w:szCs w:val="22"/>
            </w:rPr>
          </w:pPr>
          <w:r>
            <w:fldChar w:fldCharType="begin"/>
          </w:r>
          <w:r>
            <w:instrText xml:space="preserve"> TOC \o "1-3" \h \z \u </w:instrText>
          </w:r>
          <w:r>
            <w:fldChar w:fldCharType="separate"/>
          </w:r>
          <w:hyperlink w:anchor="_Toc391474603" w:history="1">
            <w:r w:rsidR="00C73979" w:rsidRPr="00C73979">
              <w:rPr>
                <w:rStyle w:val="Hyperlink"/>
                <w:rFonts w:ascii="Arial" w:eastAsiaTheme="minorEastAsia" w:hAnsi="Arial" w:cs="Arial"/>
                <w:b w:val="0"/>
                <w:noProof/>
                <w:sz w:val="22"/>
                <w:szCs w:val="22"/>
              </w:rPr>
              <w:t>ABSTRACT</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_Toc391474603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3</w:t>
            </w:r>
            <w:r w:rsidR="00C73979" w:rsidRPr="00C73979">
              <w:rPr>
                <w:rFonts w:ascii="Arial" w:hAnsi="Arial" w:cs="Arial"/>
                <w:b w:val="0"/>
                <w:noProof/>
                <w:webHidden/>
                <w:sz w:val="22"/>
                <w:szCs w:val="22"/>
              </w:rPr>
              <w:fldChar w:fldCharType="end"/>
            </w:r>
          </w:hyperlink>
        </w:p>
        <w:p w:rsidR="00C73979" w:rsidRPr="00C73979" w:rsidRDefault="00C73979" w:rsidP="00C73979">
          <w:pPr>
            <w:rPr>
              <w:rFonts w:eastAsiaTheme="minorEastAsia"/>
            </w:rPr>
          </w:pPr>
        </w:p>
        <w:p w:rsidR="00C73979" w:rsidRDefault="002512D8">
          <w:pPr>
            <w:pStyle w:val="TOC1"/>
            <w:tabs>
              <w:tab w:val="left" w:pos="480"/>
              <w:tab w:val="right" w:leader="dot" w:pos="7339"/>
            </w:tabs>
            <w:rPr>
              <w:rStyle w:val="Hyperlink"/>
              <w:rFonts w:ascii="Arial" w:eastAsiaTheme="minorEastAsia" w:hAnsi="Arial" w:cs="Arial"/>
              <w:b w:val="0"/>
              <w:noProof/>
              <w:sz w:val="22"/>
              <w:szCs w:val="22"/>
            </w:rPr>
          </w:pPr>
          <w:hyperlink w:anchor="_Toc391474604" w:history="1">
            <w:r w:rsidR="00C73979" w:rsidRPr="00C73979">
              <w:rPr>
                <w:rStyle w:val="Hyperlink"/>
                <w:rFonts w:ascii="Arial" w:eastAsiaTheme="minorEastAsia" w:hAnsi="Arial" w:cs="Arial"/>
                <w:b w:val="0"/>
                <w:noProof/>
                <w:sz w:val="22"/>
                <w:szCs w:val="22"/>
              </w:rPr>
              <w:t>1.</w:t>
            </w:r>
            <w:r w:rsidR="00C73979" w:rsidRPr="00C73979">
              <w:rPr>
                <w:rFonts w:ascii="Arial" w:eastAsiaTheme="minorEastAsia" w:hAnsi="Arial" w:cs="Arial"/>
                <w:b w:val="0"/>
                <w:noProof/>
                <w:sz w:val="22"/>
                <w:szCs w:val="22"/>
                <w:lang w:val="en-GB" w:eastAsia="en-GB"/>
              </w:rPr>
              <w:tab/>
            </w:r>
            <w:r w:rsidR="00C73979" w:rsidRPr="00C73979">
              <w:rPr>
                <w:rStyle w:val="Hyperlink"/>
                <w:rFonts w:ascii="Arial" w:eastAsiaTheme="minorEastAsia" w:hAnsi="Arial" w:cs="Arial"/>
                <w:b w:val="0"/>
                <w:noProof/>
                <w:sz w:val="22"/>
                <w:szCs w:val="22"/>
              </w:rPr>
              <w:t>INTRODUCTION</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_Toc391474604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5</w:t>
            </w:r>
            <w:r w:rsidR="00C73979" w:rsidRPr="00C73979">
              <w:rPr>
                <w:rFonts w:ascii="Arial" w:hAnsi="Arial" w:cs="Arial"/>
                <w:b w:val="0"/>
                <w:noProof/>
                <w:webHidden/>
                <w:sz w:val="22"/>
                <w:szCs w:val="22"/>
              </w:rPr>
              <w:fldChar w:fldCharType="end"/>
            </w:r>
          </w:hyperlink>
        </w:p>
        <w:p w:rsidR="00C73979" w:rsidRPr="00C73979" w:rsidRDefault="00C73979" w:rsidP="00C73979">
          <w:pPr>
            <w:rPr>
              <w:rFonts w:eastAsiaTheme="minorEastAsia"/>
            </w:rPr>
          </w:pPr>
        </w:p>
        <w:p w:rsidR="00C73979" w:rsidRPr="00C73979" w:rsidRDefault="002512D8" w:rsidP="00C73979">
          <w:pPr>
            <w:pStyle w:val="TOC1"/>
            <w:tabs>
              <w:tab w:val="left" w:pos="480"/>
              <w:tab w:val="right" w:leader="dot" w:pos="7339"/>
            </w:tabs>
            <w:rPr>
              <w:rFonts w:ascii="Arial" w:eastAsiaTheme="minorEastAsia" w:hAnsi="Arial" w:cs="Arial"/>
              <w:b w:val="0"/>
              <w:noProof/>
              <w:color w:val="0000FF"/>
              <w:sz w:val="22"/>
              <w:szCs w:val="22"/>
              <w:u w:val="single"/>
            </w:rPr>
          </w:pPr>
          <w:hyperlink w:anchor="_Toc391474605" w:history="1">
            <w:r w:rsidR="00C73979" w:rsidRPr="00C73979">
              <w:rPr>
                <w:rStyle w:val="Hyperlink"/>
                <w:rFonts w:ascii="Arial" w:eastAsiaTheme="minorEastAsia" w:hAnsi="Arial" w:cs="Arial"/>
                <w:b w:val="0"/>
                <w:noProof/>
                <w:sz w:val="22"/>
                <w:szCs w:val="22"/>
              </w:rPr>
              <w:t>2.</w:t>
            </w:r>
            <w:r w:rsidR="00C73979" w:rsidRPr="00C73979">
              <w:rPr>
                <w:rFonts w:ascii="Arial" w:eastAsiaTheme="minorEastAsia" w:hAnsi="Arial" w:cs="Arial"/>
                <w:b w:val="0"/>
                <w:noProof/>
                <w:sz w:val="22"/>
                <w:szCs w:val="22"/>
                <w:lang w:val="en-GB" w:eastAsia="en-GB"/>
              </w:rPr>
              <w:tab/>
            </w:r>
            <w:r w:rsidR="00C73979" w:rsidRPr="00C73979">
              <w:rPr>
                <w:rStyle w:val="Hyperlink"/>
                <w:rFonts w:ascii="Arial" w:eastAsiaTheme="minorEastAsia" w:hAnsi="Arial" w:cs="Arial"/>
                <w:b w:val="0"/>
                <w:noProof/>
                <w:sz w:val="22"/>
                <w:szCs w:val="22"/>
              </w:rPr>
              <w:t>DIMENSIONS OF ADDITIONALITY</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_Toc391474605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8</w:t>
            </w:r>
            <w:r w:rsidR="00C73979" w:rsidRPr="00C73979">
              <w:rPr>
                <w:rFonts w:ascii="Arial" w:hAnsi="Arial" w:cs="Arial"/>
                <w:b w:val="0"/>
                <w:noProof/>
                <w:webHidden/>
                <w:sz w:val="22"/>
                <w:szCs w:val="22"/>
              </w:rPr>
              <w:fldChar w:fldCharType="end"/>
            </w:r>
          </w:hyperlink>
        </w:p>
        <w:p w:rsidR="00C73979" w:rsidRPr="00C73979" w:rsidRDefault="002512D8" w:rsidP="00C73979">
          <w:pPr>
            <w:pStyle w:val="TOC1"/>
            <w:tabs>
              <w:tab w:val="left" w:pos="720"/>
              <w:tab w:val="right" w:leader="dot" w:pos="7339"/>
            </w:tabs>
            <w:rPr>
              <w:rFonts w:ascii="Arial" w:eastAsiaTheme="minorEastAsia" w:hAnsi="Arial" w:cs="Arial"/>
              <w:b w:val="0"/>
              <w:noProof/>
              <w:color w:val="0000FF"/>
              <w:sz w:val="22"/>
              <w:szCs w:val="22"/>
              <w:u w:val="single"/>
            </w:rPr>
          </w:pPr>
          <w:hyperlink w:anchor="_Toc391474606" w:history="1">
            <w:r w:rsidR="00C73979" w:rsidRPr="00C73979">
              <w:rPr>
                <w:rStyle w:val="Hyperlink"/>
                <w:rFonts w:ascii="Arial" w:eastAsiaTheme="minorEastAsia" w:hAnsi="Arial" w:cs="Arial"/>
                <w:b w:val="0"/>
                <w:noProof/>
                <w:sz w:val="22"/>
                <w:szCs w:val="22"/>
              </w:rPr>
              <w:t>2.1</w:t>
            </w:r>
            <w:r w:rsidR="00C73979" w:rsidRPr="00C73979">
              <w:rPr>
                <w:rFonts w:ascii="Arial" w:eastAsiaTheme="minorEastAsia" w:hAnsi="Arial" w:cs="Arial"/>
                <w:b w:val="0"/>
                <w:noProof/>
                <w:sz w:val="22"/>
                <w:szCs w:val="22"/>
                <w:lang w:val="en-GB" w:eastAsia="en-GB"/>
              </w:rPr>
              <w:tab/>
            </w:r>
            <w:r w:rsidR="00C73979" w:rsidRPr="00C73979">
              <w:rPr>
                <w:rStyle w:val="Hyperlink"/>
                <w:rFonts w:ascii="Arial" w:eastAsiaTheme="minorEastAsia" w:hAnsi="Arial" w:cs="Arial"/>
                <w:b w:val="0"/>
                <w:noProof/>
                <w:sz w:val="22"/>
                <w:szCs w:val="22"/>
              </w:rPr>
              <w:t>Input Additionality</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_Toc391474606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9</w:t>
            </w:r>
            <w:r w:rsidR="00C73979" w:rsidRPr="00C73979">
              <w:rPr>
                <w:rFonts w:ascii="Arial" w:hAnsi="Arial" w:cs="Arial"/>
                <w:b w:val="0"/>
                <w:noProof/>
                <w:webHidden/>
                <w:sz w:val="22"/>
                <w:szCs w:val="22"/>
              </w:rPr>
              <w:fldChar w:fldCharType="end"/>
            </w:r>
          </w:hyperlink>
        </w:p>
        <w:p w:rsidR="00C73979" w:rsidRPr="00C73979" w:rsidRDefault="002512D8">
          <w:pPr>
            <w:pStyle w:val="TOC1"/>
            <w:tabs>
              <w:tab w:val="left" w:pos="720"/>
              <w:tab w:val="right" w:leader="dot" w:pos="7339"/>
            </w:tabs>
            <w:rPr>
              <w:rFonts w:ascii="Arial" w:eastAsiaTheme="minorEastAsia" w:hAnsi="Arial" w:cs="Arial"/>
              <w:b w:val="0"/>
              <w:noProof/>
              <w:sz w:val="22"/>
              <w:szCs w:val="22"/>
              <w:lang w:val="en-GB" w:eastAsia="en-GB"/>
            </w:rPr>
          </w:pPr>
          <w:hyperlink w:anchor="_Toc391474607" w:history="1">
            <w:r w:rsidR="00C73979" w:rsidRPr="00C73979">
              <w:rPr>
                <w:rStyle w:val="Hyperlink"/>
                <w:rFonts w:ascii="Arial" w:eastAsiaTheme="minorEastAsia" w:hAnsi="Arial" w:cs="Arial"/>
                <w:b w:val="0"/>
                <w:noProof/>
                <w:sz w:val="22"/>
                <w:szCs w:val="22"/>
              </w:rPr>
              <w:t>2.2</w:t>
            </w:r>
            <w:r w:rsidR="00C73979" w:rsidRPr="00C73979">
              <w:rPr>
                <w:rFonts w:ascii="Arial" w:eastAsiaTheme="minorEastAsia" w:hAnsi="Arial" w:cs="Arial"/>
                <w:b w:val="0"/>
                <w:noProof/>
                <w:sz w:val="22"/>
                <w:szCs w:val="22"/>
                <w:lang w:val="en-GB" w:eastAsia="en-GB"/>
              </w:rPr>
              <w:tab/>
            </w:r>
            <w:r w:rsidR="00C73979" w:rsidRPr="00C73979">
              <w:rPr>
                <w:rStyle w:val="Hyperlink"/>
                <w:rFonts w:ascii="Arial" w:eastAsiaTheme="minorEastAsia" w:hAnsi="Arial" w:cs="Arial"/>
                <w:b w:val="0"/>
                <w:noProof/>
                <w:sz w:val="22"/>
                <w:szCs w:val="22"/>
              </w:rPr>
              <w:t>Output additionality</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_Toc391474607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10</w:t>
            </w:r>
            <w:r w:rsidR="00C73979" w:rsidRPr="00C73979">
              <w:rPr>
                <w:rFonts w:ascii="Arial" w:hAnsi="Arial" w:cs="Arial"/>
                <w:b w:val="0"/>
                <w:noProof/>
                <w:webHidden/>
                <w:sz w:val="22"/>
                <w:szCs w:val="22"/>
              </w:rPr>
              <w:fldChar w:fldCharType="end"/>
            </w:r>
          </w:hyperlink>
        </w:p>
        <w:p w:rsidR="00C73979" w:rsidRPr="00C73979" w:rsidRDefault="002512D8">
          <w:pPr>
            <w:pStyle w:val="TOC1"/>
            <w:tabs>
              <w:tab w:val="left" w:pos="720"/>
              <w:tab w:val="right" w:leader="dot" w:pos="7339"/>
            </w:tabs>
            <w:rPr>
              <w:rFonts w:ascii="Arial" w:eastAsiaTheme="minorEastAsia" w:hAnsi="Arial" w:cs="Arial"/>
              <w:b w:val="0"/>
              <w:noProof/>
              <w:sz w:val="22"/>
              <w:szCs w:val="22"/>
              <w:lang w:val="en-GB" w:eastAsia="en-GB"/>
            </w:rPr>
          </w:pPr>
          <w:hyperlink w:anchor="_Toc391474608" w:history="1">
            <w:r w:rsidR="00C73979" w:rsidRPr="00C73979">
              <w:rPr>
                <w:rStyle w:val="Hyperlink"/>
                <w:rFonts w:ascii="Arial" w:eastAsiaTheme="minorEastAsia" w:hAnsi="Arial" w:cs="Arial"/>
                <w:b w:val="0"/>
                <w:noProof/>
                <w:sz w:val="22"/>
                <w:szCs w:val="22"/>
              </w:rPr>
              <w:t>2.3</w:t>
            </w:r>
            <w:r w:rsidR="00C73979" w:rsidRPr="00C73979">
              <w:rPr>
                <w:rFonts w:ascii="Arial" w:eastAsiaTheme="minorEastAsia" w:hAnsi="Arial" w:cs="Arial"/>
                <w:b w:val="0"/>
                <w:noProof/>
                <w:sz w:val="22"/>
                <w:szCs w:val="22"/>
                <w:lang w:val="en-GB" w:eastAsia="en-GB"/>
              </w:rPr>
              <w:tab/>
            </w:r>
            <w:r w:rsidR="00C73979" w:rsidRPr="00C73979">
              <w:rPr>
                <w:rStyle w:val="Hyperlink"/>
                <w:rFonts w:ascii="Arial" w:eastAsiaTheme="minorEastAsia" w:hAnsi="Arial" w:cs="Arial"/>
                <w:b w:val="0"/>
                <w:noProof/>
                <w:sz w:val="22"/>
                <w:szCs w:val="22"/>
              </w:rPr>
              <w:t>Behavioural additionality</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_Toc391474608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12</w:t>
            </w:r>
            <w:r w:rsidR="00C73979" w:rsidRPr="00C73979">
              <w:rPr>
                <w:rFonts w:ascii="Arial" w:hAnsi="Arial" w:cs="Arial"/>
                <w:b w:val="0"/>
                <w:noProof/>
                <w:webHidden/>
                <w:sz w:val="22"/>
                <w:szCs w:val="22"/>
              </w:rPr>
              <w:fldChar w:fldCharType="end"/>
            </w:r>
          </w:hyperlink>
        </w:p>
        <w:p w:rsidR="00C73979" w:rsidRPr="00C73979" w:rsidRDefault="002512D8">
          <w:pPr>
            <w:pStyle w:val="TOC1"/>
            <w:tabs>
              <w:tab w:val="left" w:pos="720"/>
              <w:tab w:val="right" w:leader="dot" w:pos="7339"/>
            </w:tabs>
            <w:rPr>
              <w:rFonts w:ascii="Arial" w:eastAsiaTheme="minorEastAsia" w:hAnsi="Arial" w:cs="Arial"/>
              <w:b w:val="0"/>
              <w:noProof/>
              <w:sz w:val="22"/>
              <w:szCs w:val="22"/>
              <w:lang w:val="en-GB" w:eastAsia="en-GB"/>
            </w:rPr>
          </w:pPr>
          <w:hyperlink w:anchor="_Toc391474609" w:history="1">
            <w:r w:rsidR="00C73979" w:rsidRPr="00C73979">
              <w:rPr>
                <w:rStyle w:val="Hyperlink"/>
                <w:rFonts w:ascii="Arial" w:eastAsiaTheme="minorEastAsia" w:hAnsi="Arial" w:cs="Arial"/>
                <w:b w:val="0"/>
                <w:noProof/>
                <w:sz w:val="22"/>
                <w:szCs w:val="22"/>
              </w:rPr>
              <w:t>2.3.1</w:t>
            </w:r>
            <w:r w:rsidR="00C73979" w:rsidRPr="00C73979">
              <w:rPr>
                <w:rFonts w:ascii="Arial" w:eastAsiaTheme="minorEastAsia" w:hAnsi="Arial" w:cs="Arial"/>
                <w:b w:val="0"/>
                <w:noProof/>
                <w:sz w:val="22"/>
                <w:szCs w:val="22"/>
                <w:lang w:val="en-GB" w:eastAsia="en-GB"/>
              </w:rPr>
              <w:tab/>
            </w:r>
            <w:r w:rsidR="00C73979" w:rsidRPr="00C73979">
              <w:rPr>
                <w:rStyle w:val="Hyperlink"/>
                <w:rFonts w:ascii="Arial" w:eastAsiaTheme="minorEastAsia" w:hAnsi="Arial" w:cs="Arial"/>
                <w:b w:val="0"/>
                <w:noProof/>
                <w:sz w:val="22"/>
                <w:szCs w:val="22"/>
              </w:rPr>
              <w:t>Congenital additionality</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_Toc391474609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13</w:t>
            </w:r>
            <w:r w:rsidR="00C73979" w:rsidRPr="00C73979">
              <w:rPr>
                <w:rFonts w:ascii="Arial" w:hAnsi="Arial" w:cs="Arial"/>
                <w:b w:val="0"/>
                <w:noProof/>
                <w:webHidden/>
                <w:sz w:val="22"/>
                <w:szCs w:val="22"/>
              </w:rPr>
              <w:fldChar w:fldCharType="end"/>
            </w:r>
          </w:hyperlink>
        </w:p>
        <w:p w:rsidR="00C73979" w:rsidRPr="00C73979" w:rsidRDefault="002512D8">
          <w:pPr>
            <w:pStyle w:val="TOC1"/>
            <w:tabs>
              <w:tab w:val="left" w:pos="720"/>
              <w:tab w:val="right" w:leader="dot" w:pos="7339"/>
            </w:tabs>
            <w:rPr>
              <w:rFonts w:ascii="Arial" w:eastAsiaTheme="minorEastAsia" w:hAnsi="Arial" w:cs="Arial"/>
              <w:b w:val="0"/>
              <w:noProof/>
              <w:sz w:val="22"/>
              <w:szCs w:val="22"/>
              <w:lang w:val="en-GB" w:eastAsia="en-GB"/>
            </w:rPr>
          </w:pPr>
          <w:hyperlink w:anchor="_Toc391474610" w:history="1">
            <w:r w:rsidR="00C73979" w:rsidRPr="00C73979">
              <w:rPr>
                <w:rStyle w:val="Hyperlink"/>
                <w:rFonts w:ascii="Arial" w:eastAsiaTheme="minorEastAsia" w:hAnsi="Arial" w:cs="Arial"/>
                <w:b w:val="0"/>
                <w:noProof/>
                <w:sz w:val="22"/>
                <w:szCs w:val="22"/>
              </w:rPr>
              <w:t>2.3.2</w:t>
            </w:r>
            <w:r w:rsidR="00C73979" w:rsidRPr="00C73979">
              <w:rPr>
                <w:rFonts w:ascii="Arial" w:eastAsiaTheme="minorEastAsia" w:hAnsi="Arial" w:cs="Arial"/>
                <w:b w:val="0"/>
                <w:noProof/>
                <w:sz w:val="22"/>
                <w:szCs w:val="22"/>
                <w:lang w:val="en-GB" w:eastAsia="en-GB"/>
              </w:rPr>
              <w:tab/>
            </w:r>
            <w:r w:rsidR="00C73979" w:rsidRPr="00C73979">
              <w:rPr>
                <w:rStyle w:val="Hyperlink"/>
                <w:rFonts w:ascii="Arial" w:eastAsiaTheme="minorEastAsia" w:hAnsi="Arial" w:cs="Arial"/>
                <w:b w:val="0"/>
                <w:noProof/>
                <w:sz w:val="22"/>
                <w:szCs w:val="22"/>
              </w:rPr>
              <w:t>Inter-organisational additionality</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_Toc391474610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14</w:t>
            </w:r>
            <w:r w:rsidR="00C73979" w:rsidRPr="00C73979">
              <w:rPr>
                <w:rFonts w:ascii="Arial" w:hAnsi="Arial" w:cs="Arial"/>
                <w:b w:val="0"/>
                <w:noProof/>
                <w:webHidden/>
                <w:sz w:val="22"/>
                <w:szCs w:val="22"/>
              </w:rPr>
              <w:fldChar w:fldCharType="end"/>
            </w:r>
          </w:hyperlink>
        </w:p>
        <w:p w:rsidR="00C73979" w:rsidRDefault="002512D8">
          <w:pPr>
            <w:pStyle w:val="TOC1"/>
            <w:tabs>
              <w:tab w:val="left" w:pos="720"/>
              <w:tab w:val="right" w:leader="dot" w:pos="7339"/>
            </w:tabs>
            <w:rPr>
              <w:rStyle w:val="Hyperlink"/>
              <w:rFonts w:ascii="Arial" w:eastAsiaTheme="minorEastAsia" w:hAnsi="Arial" w:cs="Arial"/>
              <w:b w:val="0"/>
              <w:noProof/>
              <w:sz w:val="22"/>
              <w:szCs w:val="22"/>
            </w:rPr>
          </w:pPr>
          <w:hyperlink w:anchor="_Toc391474611" w:history="1">
            <w:r w:rsidR="00C73979" w:rsidRPr="00C73979">
              <w:rPr>
                <w:rStyle w:val="Hyperlink"/>
                <w:rFonts w:ascii="Arial" w:eastAsiaTheme="minorEastAsia" w:hAnsi="Arial" w:cs="Arial"/>
                <w:b w:val="0"/>
                <w:noProof/>
                <w:sz w:val="22"/>
                <w:szCs w:val="22"/>
              </w:rPr>
              <w:t>2.3.3</w:t>
            </w:r>
            <w:r w:rsidR="00C73979" w:rsidRPr="00C73979">
              <w:rPr>
                <w:rFonts w:ascii="Arial" w:eastAsiaTheme="minorEastAsia" w:hAnsi="Arial" w:cs="Arial"/>
                <w:b w:val="0"/>
                <w:noProof/>
                <w:sz w:val="22"/>
                <w:szCs w:val="22"/>
                <w:lang w:val="en-GB" w:eastAsia="en-GB"/>
              </w:rPr>
              <w:tab/>
            </w:r>
            <w:r w:rsidR="00C73979" w:rsidRPr="00C73979">
              <w:rPr>
                <w:rStyle w:val="Hyperlink"/>
                <w:rFonts w:ascii="Arial" w:eastAsiaTheme="minorEastAsia" w:hAnsi="Arial" w:cs="Arial"/>
                <w:b w:val="0"/>
                <w:noProof/>
                <w:sz w:val="22"/>
                <w:szCs w:val="22"/>
              </w:rPr>
              <w:t>Experiential additionality</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_Toc391474611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15</w:t>
            </w:r>
            <w:r w:rsidR="00C73979" w:rsidRPr="00C73979">
              <w:rPr>
                <w:rFonts w:ascii="Arial" w:hAnsi="Arial" w:cs="Arial"/>
                <w:b w:val="0"/>
                <w:noProof/>
                <w:webHidden/>
                <w:sz w:val="22"/>
                <w:szCs w:val="22"/>
              </w:rPr>
              <w:fldChar w:fldCharType="end"/>
            </w:r>
          </w:hyperlink>
        </w:p>
        <w:p w:rsidR="00C73979" w:rsidRPr="00C73979" w:rsidRDefault="00C73979" w:rsidP="00C73979">
          <w:pPr>
            <w:rPr>
              <w:rFonts w:eastAsiaTheme="minorEastAsia"/>
            </w:rPr>
          </w:pPr>
        </w:p>
        <w:p w:rsidR="00C73979" w:rsidRDefault="002512D8">
          <w:pPr>
            <w:pStyle w:val="TOC1"/>
            <w:tabs>
              <w:tab w:val="right" w:leader="dot" w:pos="7339"/>
            </w:tabs>
            <w:rPr>
              <w:rStyle w:val="Hyperlink"/>
              <w:rFonts w:ascii="Arial" w:eastAsiaTheme="minorEastAsia" w:hAnsi="Arial" w:cs="Arial"/>
              <w:b w:val="0"/>
              <w:noProof/>
              <w:sz w:val="22"/>
              <w:szCs w:val="22"/>
            </w:rPr>
          </w:pPr>
          <w:hyperlink w:anchor="_Toc391474612" w:history="1">
            <w:r w:rsidR="00C73979" w:rsidRPr="00C73979">
              <w:rPr>
                <w:rStyle w:val="Hyperlink"/>
                <w:rFonts w:ascii="Arial" w:eastAsiaTheme="minorEastAsia" w:hAnsi="Arial" w:cs="Arial"/>
                <w:b w:val="0"/>
                <w:noProof/>
                <w:sz w:val="22"/>
                <w:szCs w:val="22"/>
              </w:rPr>
              <w:t>3. DATA AND METHODS</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_Toc391474612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17</w:t>
            </w:r>
            <w:r w:rsidR="00C73979" w:rsidRPr="00C73979">
              <w:rPr>
                <w:rFonts w:ascii="Arial" w:hAnsi="Arial" w:cs="Arial"/>
                <w:b w:val="0"/>
                <w:noProof/>
                <w:webHidden/>
                <w:sz w:val="22"/>
                <w:szCs w:val="22"/>
              </w:rPr>
              <w:fldChar w:fldCharType="end"/>
            </w:r>
          </w:hyperlink>
        </w:p>
        <w:p w:rsidR="00C73979" w:rsidRPr="00C73979" w:rsidRDefault="00C73979" w:rsidP="00C73979">
          <w:pPr>
            <w:rPr>
              <w:rFonts w:eastAsiaTheme="minorEastAsia"/>
            </w:rPr>
          </w:pPr>
        </w:p>
        <w:p w:rsidR="00C73979" w:rsidRDefault="002512D8">
          <w:pPr>
            <w:pStyle w:val="TOC1"/>
            <w:tabs>
              <w:tab w:val="right" w:leader="dot" w:pos="7339"/>
            </w:tabs>
            <w:rPr>
              <w:rStyle w:val="Hyperlink"/>
              <w:rFonts w:ascii="Arial" w:eastAsiaTheme="minorEastAsia" w:hAnsi="Arial" w:cs="Arial"/>
              <w:b w:val="0"/>
              <w:noProof/>
              <w:sz w:val="22"/>
              <w:szCs w:val="22"/>
            </w:rPr>
          </w:pPr>
          <w:hyperlink w:anchor="_Toc391474613" w:history="1">
            <w:r w:rsidR="00C73979" w:rsidRPr="00C73979">
              <w:rPr>
                <w:rStyle w:val="Hyperlink"/>
                <w:rFonts w:ascii="Arial" w:eastAsiaTheme="minorEastAsia" w:hAnsi="Arial" w:cs="Arial"/>
                <w:b w:val="0"/>
                <w:noProof/>
                <w:sz w:val="22"/>
                <w:szCs w:val="22"/>
              </w:rPr>
              <w:t>4. EMPIRICAL RESULTS</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_Toc391474613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22</w:t>
            </w:r>
            <w:r w:rsidR="00C73979" w:rsidRPr="00C73979">
              <w:rPr>
                <w:rFonts w:ascii="Arial" w:hAnsi="Arial" w:cs="Arial"/>
                <w:b w:val="0"/>
                <w:noProof/>
                <w:webHidden/>
                <w:sz w:val="22"/>
                <w:szCs w:val="22"/>
              </w:rPr>
              <w:fldChar w:fldCharType="end"/>
            </w:r>
          </w:hyperlink>
        </w:p>
        <w:p w:rsidR="00C73979" w:rsidRPr="00C73979" w:rsidRDefault="00C73979" w:rsidP="00C73979">
          <w:pPr>
            <w:rPr>
              <w:rFonts w:eastAsiaTheme="minorEastAsia"/>
            </w:rPr>
          </w:pPr>
        </w:p>
        <w:p w:rsidR="00C73979" w:rsidRDefault="002512D8">
          <w:pPr>
            <w:pStyle w:val="TOC1"/>
            <w:tabs>
              <w:tab w:val="right" w:leader="dot" w:pos="7339"/>
            </w:tabs>
            <w:rPr>
              <w:rFonts w:eastAsiaTheme="minorEastAsia" w:cstheme="minorBidi"/>
              <w:b w:val="0"/>
              <w:noProof/>
              <w:sz w:val="22"/>
              <w:szCs w:val="22"/>
              <w:lang w:val="en-GB" w:eastAsia="en-GB"/>
            </w:rPr>
          </w:pPr>
          <w:hyperlink w:anchor="_Toc391474614" w:history="1">
            <w:r w:rsidR="00C73979" w:rsidRPr="00C73979">
              <w:rPr>
                <w:rStyle w:val="Hyperlink"/>
                <w:rFonts w:ascii="Arial" w:eastAsiaTheme="minorEastAsia" w:hAnsi="Arial" w:cs="Arial"/>
                <w:b w:val="0"/>
                <w:noProof/>
                <w:sz w:val="22"/>
                <w:szCs w:val="22"/>
              </w:rPr>
              <w:t>5. CONCLUSIONS</w:t>
            </w:r>
            <w:r w:rsidR="00C73979" w:rsidRPr="00C73979">
              <w:rPr>
                <w:rFonts w:ascii="Arial" w:hAnsi="Arial" w:cs="Arial"/>
                <w:b w:val="0"/>
                <w:noProof/>
                <w:webHidden/>
                <w:sz w:val="22"/>
                <w:szCs w:val="22"/>
              </w:rPr>
              <w:tab/>
            </w:r>
            <w:r w:rsidR="00C73979" w:rsidRPr="00C73979">
              <w:rPr>
                <w:rFonts w:ascii="Arial" w:hAnsi="Arial" w:cs="Arial"/>
                <w:b w:val="0"/>
                <w:noProof/>
                <w:webHidden/>
                <w:sz w:val="22"/>
                <w:szCs w:val="22"/>
              </w:rPr>
              <w:fldChar w:fldCharType="begin"/>
            </w:r>
            <w:r w:rsidR="00C73979" w:rsidRPr="00C73979">
              <w:rPr>
                <w:rFonts w:ascii="Arial" w:hAnsi="Arial" w:cs="Arial"/>
                <w:b w:val="0"/>
                <w:noProof/>
                <w:webHidden/>
                <w:sz w:val="22"/>
                <w:szCs w:val="22"/>
              </w:rPr>
              <w:instrText xml:space="preserve"> PAGEREF _Toc391474614 \h </w:instrText>
            </w:r>
            <w:r w:rsidR="00C73979" w:rsidRPr="00C73979">
              <w:rPr>
                <w:rFonts w:ascii="Arial" w:hAnsi="Arial" w:cs="Arial"/>
                <w:b w:val="0"/>
                <w:noProof/>
                <w:webHidden/>
                <w:sz w:val="22"/>
                <w:szCs w:val="22"/>
              </w:rPr>
            </w:r>
            <w:r w:rsidR="00C73979" w:rsidRPr="00C73979">
              <w:rPr>
                <w:rFonts w:ascii="Arial" w:hAnsi="Arial" w:cs="Arial"/>
                <w:b w:val="0"/>
                <w:noProof/>
                <w:webHidden/>
                <w:sz w:val="22"/>
                <w:szCs w:val="22"/>
              </w:rPr>
              <w:fldChar w:fldCharType="separate"/>
            </w:r>
            <w:r w:rsidR="00C73979" w:rsidRPr="00C73979">
              <w:rPr>
                <w:rFonts w:ascii="Arial" w:hAnsi="Arial" w:cs="Arial"/>
                <w:b w:val="0"/>
                <w:noProof/>
                <w:webHidden/>
                <w:sz w:val="22"/>
                <w:szCs w:val="22"/>
              </w:rPr>
              <w:t>26</w:t>
            </w:r>
            <w:r w:rsidR="00C73979" w:rsidRPr="00C73979">
              <w:rPr>
                <w:rFonts w:ascii="Arial" w:hAnsi="Arial" w:cs="Arial"/>
                <w:b w:val="0"/>
                <w:noProof/>
                <w:webHidden/>
                <w:sz w:val="22"/>
                <w:szCs w:val="22"/>
              </w:rPr>
              <w:fldChar w:fldCharType="end"/>
            </w:r>
          </w:hyperlink>
        </w:p>
        <w:p w:rsidR="004E6675" w:rsidRDefault="004E6675">
          <w:r>
            <w:rPr>
              <w:b/>
              <w:bCs/>
              <w:noProof/>
            </w:rPr>
            <w:fldChar w:fldCharType="end"/>
          </w:r>
        </w:p>
      </w:sdtContent>
    </w:sdt>
    <w:p w:rsidR="00FE6574" w:rsidRDefault="00FE6574">
      <w:pPr>
        <w:rPr>
          <w:rFonts w:ascii="Arial" w:hAnsi="Arial" w:cs="Arial"/>
          <w:szCs w:val="22"/>
        </w:rPr>
      </w:pPr>
      <w:r>
        <w:rPr>
          <w:rFonts w:ascii="Arial" w:hAnsi="Arial" w:cs="Arial"/>
          <w:szCs w:val="22"/>
        </w:rPr>
        <w:br w:type="page"/>
      </w:r>
    </w:p>
    <w:p w:rsidR="000A70B0" w:rsidRPr="001C34EE" w:rsidRDefault="000A70B0" w:rsidP="001C34EE">
      <w:pPr>
        <w:pStyle w:val="Heading1"/>
        <w:numPr>
          <w:ilvl w:val="0"/>
          <w:numId w:val="21"/>
        </w:numPr>
        <w:ind w:left="284" w:hanging="284"/>
        <w:rPr>
          <w:rFonts w:hint="eastAsia"/>
          <w:sz w:val="28"/>
          <w:szCs w:val="28"/>
        </w:rPr>
      </w:pPr>
      <w:bookmarkStart w:id="2" w:name="_Toc391474604"/>
      <w:r w:rsidRPr="001C34EE">
        <w:rPr>
          <w:sz w:val="28"/>
          <w:szCs w:val="28"/>
        </w:rPr>
        <w:lastRenderedPageBreak/>
        <w:t>INTRODUCTION</w:t>
      </w:r>
      <w:bookmarkEnd w:id="2"/>
      <w:r w:rsidRPr="001C34EE">
        <w:rPr>
          <w:sz w:val="28"/>
          <w:szCs w:val="28"/>
        </w:rPr>
        <w:t xml:space="preserve"> </w:t>
      </w:r>
    </w:p>
    <w:p w:rsidR="000A70B0" w:rsidRPr="000A70B0" w:rsidRDefault="000A70B0" w:rsidP="000A70B0">
      <w:pPr>
        <w:spacing w:after="300" w:line="360" w:lineRule="auto"/>
        <w:jc w:val="both"/>
        <w:rPr>
          <w:rFonts w:ascii="Arial" w:hAnsi="Arial" w:cs="Arial"/>
          <w:sz w:val="22"/>
          <w:szCs w:val="22"/>
        </w:rPr>
      </w:pPr>
      <w:r w:rsidRPr="000A70B0">
        <w:rPr>
          <w:rFonts w:ascii="Arial" w:hAnsi="Arial" w:cs="Arial"/>
          <w:sz w:val="22"/>
          <w:szCs w:val="22"/>
        </w:rPr>
        <w:t xml:space="preserve">In many countries significant amounts of public funding are devoted to supporting private firms’ R&amp;D and innovation projects through subsidies or grants </w:t>
      </w:r>
      <w:r w:rsidRPr="000A70B0">
        <w:rPr>
          <w:rFonts w:ascii="Arial" w:hAnsi="Arial" w:cs="Arial"/>
          <w:noProof/>
          <w:sz w:val="22"/>
          <w:szCs w:val="22"/>
        </w:rPr>
        <w:t>(Meuleman and De Maeseneire, 2012)</w:t>
      </w:r>
      <w:r w:rsidR="001C34EE">
        <w:rPr>
          <w:rFonts w:ascii="Arial" w:hAnsi="Arial" w:cs="Arial"/>
          <w:sz w:val="22"/>
          <w:szCs w:val="22"/>
        </w:rPr>
        <w:t xml:space="preserve">, loans, and other instruments </w:t>
      </w:r>
      <w:r w:rsidRPr="000A70B0">
        <w:rPr>
          <w:rFonts w:ascii="Arial" w:hAnsi="Arial" w:cs="Arial"/>
          <w:sz w:val="22"/>
          <w:szCs w:val="22"/>
        </w:rPr>
        <w:t xml:space="preserve">such as loan guarantees or R&amp;D tax credits </w:t>
      </w:r>
      <w:r w:rsidRPr="000A70B0">
        <w:rPr>
          <w:rFonts w:ascii="Arial" w:hAnsi="Arial" w:cs="Arial"/>
          <w:noProof/>
          <w:sz w:val="22"/>
          <w:szCs w:val="22"/>
        </w:rPr>
        <w:t>(Schoening et al., 1998, Trajtenberg, 2001)</w:t>
      </w:r>
      <w:r w:rsidRPr="000A70B0">
        <w:rPr>
          <w:rFonts w:ascii="Arial" w:hAnsi="Arial" w:cs="Arial"/>
          <w:sz w:val="22"/>
          <w:szCs w:val="22"/>
        </w:rPr>
        <w:t>. In general, these interventions are justified on the basis of the market failure (Dasgupta and David, 1994) in which the inability of firms to appropriate all of the benefits of R&amp;D investment results in under-investment relative to the socially optimum</w:t>
      </w:r>
      <w:r w:rsidR="00073204">
        <w:rPr>
          <w:rFonts w:ascii="Arial" w:hAnsi="Arial" w:cs="Arial"/>
          <w:sz w:val="22"/>
          <w:szCs w:val="22"/>
        </w:rPr>
        <w:t>.i</w:t>
      </w:r>
      <w:r w:rsidRPr="000A70B0">
        <w:rPr>
          <w:rFonts w:ascii="Arial" w:hAnsi="Arial" w:cs="Arial"/>
          <w:sz w:val="22"/>
          <w:szCs w:val="22"/>
        </w:rPr>
        <w:t xml:space="preserve"> Evaluations of the effectiveness of these various forms of public support for private R&amp;D and innovation have generally demonstrated positive results in terms of the scale of private R&amp;D investments and innovation outputs </w:t>
      </w:r>
      <w:r w:rsidRPr="000A70B0">
        <w:rPr>
          <w:rFonts w:ascii="Arial" w:hAnsi="Arial" w:cs="Arial"/>
          <w:noProof/>
          <w:sz w:val="22"/>
          <w:szCs w:val="22"/>
        </w:rPr>
        <w:t>(Hsu et al., 2009, Licht, 2003, Luukkonen, 2000)</w:t>
      </w:r>
      <w:r w:rsidRPr="000A70B0">
        <w:rPr>
          <w:rFonts w:ascii="Arial" w:hAnsi="Arial" w:cs="Arial"/>
          <w:sz w:val="22"/>
          <w:szCs w:val="22"/>
        </w:rPr>
        <w:t xml:space="preserve">. </w:t>
      </w:r>
    </w:p>
    <w:p w:rsidR="000A70B0" w:rsidRPr="000A70B0" w:rsidRDefault="000A70B0" w:rsidP="000A70B0">
      <w:pPr>
        <w:spacing w:after="300" w:line="360" w:lineRule="auto"/>
        <w:jc w:val="both"/>
        <w:rPr>
          <w:rFonts w:ascii="Arial" w:hAnsi="Arial" w:cs="Arial"/>
          <w:sz w:val="22"/>
          <w:szCs w:val="22"/>
        </w:rPr>
      </w:pPr>
      <w:r w:rsidRPr="000A70B0">
        <w:rPr>
          <w:rFonts w:ascii="Arial" w:hAnsi="Arial" w:cs="Arial"/>
          <w:sz w:val="22"/>
          <w:szCs w:val="22"/>
        </w:rPr>
        <w:t xml:space="preserve">Yet issues remain in our understanding of the effect of public subsidies on private innovation, predominantly in terms of the mechanisms through which firms benefit from innovation subsidies, and the period over which subsidies continue to have an effect on business innovation. This is despite the fact that evaluations of innovation support measures have become more sophisticated, for example in allowing for the impact of selection bias </w:t>
      </w:r>
      <w:r w:rsidRPr="000A70B0">
        <w:rPr>
          <w:rFonts w:ascii="Arial" w:hAnsi="Arial" w:cs="Arial"/>
          <w:noProof/>
          <w:sz w:val="22"/>
          <w:szCs w:val="22"/>
        </w:rPr>
        <w:t>(Duguet, 2004, Aerts and Schmidt, 2008, Hewitt-Dundas and Roper, 2009)</w:t>
      </w:r>
      <w:r w:rsidRPr="000A70B0">
        <w:rPr>
          <w:rFonts w:ascii="Arial" w:hAnsi="Arial" w:cs="Arial"/>
          <w:sz w:val="22"/>
          <w:szCs w:val="22"/>
        </w:rPr>
        <w:t xml:space="preserve">, and applying experimental approaches </w:t>
      </w:r>
      <w:r w:rsidRPr="000A70B0">
        <w:rPr>
          <w:rFonts w:ascii="Arial" w:hAnsi="Arial" w:cs="Arial"/>
          <w:noProof/>
          <w:sz w:val="22"/>
          <w:szCs w:val="22"/>
        </w:rPr>
        <w:t>(Reiner, 2011, Bakhshi et al., 2012)</w:t>
      </w:r>
      <w:r w:rsidRPr="000A70B0">
        <w:rPr>
          <w:rFonts w:ascii="Arial" w:hAnsi="Arial" w:cs="Arial"/>
          <w:sz w:val="22"/>
          <w:szCs w:val="22"/>
        </w:rPr>
        <w:t xml:space="preserve">. Evaluations remain dominated by a short-term focus, however, and an over-emphasis on resource-effects (input additionality) and results-effects (output additionality) with little attention to longer-term learning effects. The short-term horizons, implicit in many innovation policy evaluations are particularly disappointing given the relatively long periods which are often needed for innovations to achieve scale in the market place. For example, recent UK guidelines on the evaluation of publicly funded innovation projects suggest adopting a three-year period for the persistence of benefits in individual enterprise support measures </w:t>
      </w:r>
      <w:r w:rsidRPr="000A70B0">
        <w:rPr>
          <w:rFonts w:ascii="Arial" w:hAnsi="Arial" w:cs="Arial"/>
          <w:noProof/>
          <w:sz w:val="22"/>
          <w:szCs w:val="22"/>
        </w:rPr>
        <w:t>(BIS, 2009, p. 26)</w:t>
      </w:r>
      <w:r w:rsidRPr="000A70B0">
        <w:rPr>
          <w:rFonts w:ascii="Arial" w:hAnsi="Arial" w:cs="Arial"/>
          <w:sz w:val="22"/>
          <w:szCs w:val="22"/>
        </w:rPr>
        <w:t xml:space="preserve">. Short-term evaluations may also under-estimate the longer-term benefits of innovation support measures through their organisational learning effects </w:t>
      </w:r>
      <w:r w:rsidRPr="000A70B0">
        <w:rPr>
          <w:rFonts w:ascii="Arial" w:hAnsi="Arial" w:cs="Arial"/>
          <w:noProof/>
          <w:sz w:val="22"/>
          <w:szCs w:val="22"/>
        </w:rPr>
        <w:t xml:space="preserve">(Bartezzaghi et al., 1997, Clarysse et al., 2009, Cohen and </w:t>
      </w:r>
      <w:r w:rsidRPr="000A70B0">
        <w:rPr>
          <w:rFonts w:ascii="Arial" w:hAnsi="Arial" w:cs="Arial"/>
          <w:noProof/>
          <w:sz w:val="22"/>
          <w:szCs w:val="22"/>
        </w:rPr>
        <w:lastRenderedPageBreak/>
        <w:t>Levinthal, 1989, Jimenez-Jimenez and Sanz-Valle, 2011)</w:t>
      </w:r>
      <w:r w:rsidRPr="000A70B0">
        <w:rPr>
          <w:rFonts w:ascii="Arial" w:hAnsi="Arial" w:cs="Arial"/>
          <w:sz w:val="22"/>
          <w:szCs w:val="22"/>
        </w:rPr>
        <w:t xml:space="preserve">, and/or wider innovation spillovers </w:t>
      </w:r>
      <w:r w:rsidRPr="000A70B0">
        <w:rPr>
          <w:rFonts w:ascii="Arial" w:hAnsi="Arial" w:cs="Arial"/>
          <w:noProof/>
          <w:sz w:val="22"/>
          <w:szCs w:val="22"/>
        </w:rPr>
        <w:t>(Beugelsdijck and Cornet, 2001)</w:t>
      </w:r>
      <w:r w:rsidRPr="000A70B0">
        <w:rPr>
          <w:rFonts w:ascii="Arial" w:hAnsi="Arial" w:cs="Arial"/>
          <w:sz w:val="22"/>
          <w:szCs w:val="22"/>
        </w:rPr>
        <w:t xml:space="preserve">.  Not capturing these longer-term, or legacy, effects may lead to the benefits of such initiatives being underestimated and subsequently an under-investment in innovation policy. Where such ‘policy failure’ occurs this may exacerbate the standard ‘market failure’ which leads firms to under-invest in R&amp;D and innovation due to their inability to appropriate the positive externalities of R&amp;D and innovation </w:t>
      </w:r>
      <w:r w:rsidRPr="000A70B0">
        <w:rPr>
          <w:rFonts w:ascii="Arial" w:hAnsi="Arial" w:cs="Arial"/>
          <w:noProof/>
          <w:sz w:val="22"/>
          <w:szCs w:val="22"/>
        </w:rPr>
        <w:t>(Martin and Scott, 2000, Woolthuis et al., 2005)</w:t>
      </w:r>
      <w:r w:rsidRPr="000A70B0">
        <w:rPr>
          <w:rFonts w:ascii="Arial" w:hAnsi="Arial" w:cs="Arial"/>
          <w:sz w:val="22"/>
          <w:szCs w:val="22"/>
        </w:rPr>
        <w:t xml:space="preserve">. Alternatively, adopting a short-term perspective may lead to an over-estimation of policy effects where short-term benefits are not sustained in the longer-term (Hewitt-Dundas and Roper, 2011). </w:t>
      </w:r>
    </w:p>
    <w:p w:rsidR="000A70B0" w:rsidRPr="000A70B0" w:rsidRDefault="000A70B0" w:rsidP="000A70B0">
      <w:pPr>
        <w:spacing w:after="300" w:line="360" w:lineRule="auto"/>
        <w:jc w:val="both"/>
        <w:rPr>
          <w:rFonts w:ascii="Arial" w:hAnsi="Arial" w:cs="Arial"/>
          <w:sz w:val="22"/>
          <w:szCs w:val="22"/>
        </w:rPr>
      </w:pPr>
      <w:r w:rsidRPr="000A70B0">
        <w:rPr>
          <w:rFonts w:ascii="Arial" w:hAnsi="Arial" w:cs="Arial"/>
          <w:sz w:val="22"/>
          <w:szCs w:val="22"/>
        </w:rPr>
        <w:t>In this paper we are interested in the additionality effects of public subsidies for private-sector innovation. Specifically, we are concerned not only with those aspects of additionality which have been widely researched to date, i.e. input and output additionality, but also with identifying firm-level learning effects from innovation support as measured through behavioural additionality (</w:t>
      </w:r>
      <w:hyperlink w:anchor="_ENREF_18" w:tooltip="Buiseret, 1995 #107" w:history="1">
        <w:r w:rsidRPr="000A70B0">
          <w:rPr>
            <w:rFonts w:ascii="Arial" w:hAnsi="Arial" w:cs="Arial"/>
            <w:noProof/>
            <w:sz w:val="22"/>
            <w:szCs w:val="22"/>
          </w:rPr>
          <w:t>Buiseret et al., 1995</w:t>
        </w:r>
      </w:hyperlink>
      <w:r w:rsidRPr="000A70B0">
        <w:rPr>
          <w:rFonts w:ascii="Arial" w:hAnsi="Arial" w:cs="Arial"/>
          <w:noProof/>
          <w:sz w:val="22"/>
          <w:szCs w:val="22"/>
        </w:rPr>
        <w:t xml:space="preserve">). This addresses an identified weakness in the literature with Clarysse et al (2009. 1518) stating  that </w:t>
      </w:r>
      <w:r w:rsidRPr="000A70B0">
        <w:rPr>
          <w:rFonts w:ascii="Arial" w:hAnsi="Arial" w:cs="Arial"/>
          <w:sz w:val="22"/>
          <w:szCs w:val="22"/>
        </w:rPr>
        <w:t xml:space="preserve">‘the concept of behavioural additionality has not really been tested in empirical studies.  As such, it has remained a rather anecdotal observation, without much academic work to underpin its existence or to explain the mechanisms through which it was affected’. Our interest is in exploring the mechanisms through which additionality occurs and also recognising that ‘while input and output additionality operate at a point in time, behavioural additionality effects may be expected to endure beyond the period of R&amp;D and to be integrated into the general capabilities of the firm’ (Georghiou, 2004, 4).  We therefore adopt a long-term perspective in evaluating the legacy effects of public subsidies for private innovation.  </w:t>
      </w:r>
    </w:p>
    <w:p w:rsidR="000A70B0" w:rsidRPr="000A70B0" w:rsidRDefault="000A70B0" w:rsidP="000A70B0">
      <w:pPr>
        <w:pStyle w:val="EndnoteText"/>
        <w:spacing w:after="300" w:line="360" w:lineRule="auto"/>
        <w:jc w:val="both"/>
        <w:rPr>
          <w:rFonts w:ascii="Arial" w:hAnsi="Arial" w:cs="Arial"/>
        </w:rPr>
      </w:pPr>
      <w:r w:rsidRPr="000A70B0">
        <w:rPr>
          <w:rFonts w:ascii="Arial" w:hAnsi="Arial" w:cs="Arial"/>
        </w:rPr>
        <w:t xml:space="preserve">Our paper adds to existing knowledge on the effects of public subsidies for innovation in three ways. First, recognising that assessment of the different mechanisms through which behavioural additionality occurs are not well developed and tested (an exception is that by Clarysse et al 2009), we contribute to the evidence on this from an organisational learning </w:t>
      </w:r>
      <w:r w:rsidRPr="000A70B0">
        <w:rPr>
          <w:rFonts w:ascii="Arial" w:hAnsi="Arial" w:cs="Arial"/>
        </w:rPr>
        <w:lastRenderedPageBreak/>
        <w:t xml:space="preserve">perspective. Second, with most additionality assessments focusing on the short-term (Cunningham et al, 2013) we assess not only how behavioural additionality occurs in the longer-term, but also consider the legacy effects of input and output additionality.  </w:t>
      </w:r>
      <w:r w:rsidRPr="000A70B0">
        <w:rPr>
          <w:rFonts w:ascii="Arial" w:eastAsiaTheme="minorHAnsi" w:hAnsi="Arial" w:cs="Arial"/>
        </w:rPr>
        <w:t xml:space="preserve">Thirdly, we consider separately the potentially different legacy effects of public support for R&amp;D and that for new product development. </w:t>
      </w:r>
    </w:p>
    <w:p w:rsidR="000A70B0" w:rsidRPr="000A70B0" w:rsidRDefault="000A70B0" w:rsidP="000A70B0">
      <w:pPr>
        <w:spacing w:after="300" w:line="360" w:lineRule="auto"/>
        <w:jc w:val="both"/>
        <w:rPr>
          <w:rFonts w:ascii="Arial" w:hAnsi="Arial" w:cs="Arial"/>
          <w:sz w:val="22"/>
          <w:szCs w:val="22"/>
        </w:rPr>
      </w:pPr>
      <w:r w:rsidRPr="000A70B0">
        <w:rPr>
          <w:rFonts w:ascii="Arial" w:hAnsi="Arial" w:cs="Arial"/>
          <w:sz w:val="22"/>
          <w:szCs w:val="22"/>
        </w:rPr>
        <w:t xml:space="preserve">Our analysis is based on panel data on Irish manufacturing firms, and we focus on the legacy effects of public innovation subsidies at the level of the plant. For example, do publicly supported innovation projects generate behavioural effects which persist beyond the life of the supported project </w:t>
      </w:r>
      <w:r w:rsidRPr="000A70B0">
        <w:rPr>
          <w:rFonts w:ascii="Arial" w:hAnsi="Arial" w:cs="Arial"/>
          <w:noProof/>
          <w:sz w:val="22"/>
          <w:szCs w:val="22"/>
        </w:rPr>
        <w:t>(Aschhoff and Fier, 2005, Clarysse et al., 2009, Falk, 2004, Georghiou, 2004, Kim and Song, 2007)</w:t>
      </w:r>
      <w:r w:rsidRPr="000A70B0">
        <w:rPr>
          <w:rFonts w:ascii="Arial" w:hAnsi="Arial" w:cs="Arial"/>
          <w:sz w:val="22"/>
          <w:szCs w:val="22"/>
        </w:rPr>
        <w:t xml:space="preserve">? Or, do publicly supported innovations made in one period provide an enhanced basis for innovation in subsequent periods through quality-ladder type effects </w:t>
      </w:r>
      <w:r w:rsidRPr="000A70B0">
        <w:rPr>
          <w:rFonts w:ascii="Arial" w:hAnsi="Arial" w:cs="Arial"/>
          <w:noProof/>
          <w:sz w:val="22"/>
          <w:szCs w:val="22"/>
        </w:rPr>
        <w:t>(Hewitt-Dundas and Roper, 2009)</w:t>
      </w:r>
      <w:r w:rsidRPr="000A70B0">
        <w:rPr>
          <w:rFonts w:ascii="Arial" w:hAnsi="Arial" w:cs="Arial"/>
          <w:sz w:val="22"/>
          <w:szCs w:val="22"/>
        </w:rPr>
        <w:t xml:space="preserve">? Evidence of either would suggest significant legacy effects; evidence of neither would suggest that the effects of public support for innovation are time-limited to the duration of the project and leave no lasting legacy. Both scenarios have potentially significant policy implications. If there are legacy effects, the benefits of innovation policy should be incremental, creating steadily stronger innovating firms, and a strong argument for policy intervention. If additionality is transient the case for innovation policy intervention is weaker. </w:t>
      </w:r>
    </w:p>
    <w:p w:rsidR="000A70B0" w:rsidRPr="00A844B6" w:rsidRDefault="000A70B0" w:rsidP="00BC1F6B">
      <w:pPr>
        <w:spacing w:after="300" w:line="360" w:lineRule="auto"/>
        <w:jc w:val="both"/>
        <w:rPr>
          <w:rFonts w:ascii="Arial" w:hAnsi="Arial" w:cs="Arial"/>
          <w:sz w:val="22"/>
          <w:szCs w:val="22"/>
        </w:rPr>
      </w:pPr>
      <w:r w:rsidRPr="000A70B0">
        <w:rPr>
          <w:rFonts w:ascii="Arial" w:hAnsi="Arial" w:cs="Arial"/>
          <w:sz w:val="22"/>
          <w:szCs w:val="22"/>
        </w:rPr>
        <w:t xml:space="preserve">The remainder of the paper is organised as follows. Section 2 reviews the evaluation literature outlining the alternative mechanisms through which legacy effects might result and how these might affect innovation performance in the post-subsidy period. Section 3 describes the data used in our empirical analysis – the Irish Innovation Panel – and the operationalization of our tests for legacy effects. The tests we propose rely on the notion of the innovation production function, and the intuition that, due to organisational learning, firms which received public support for innovation in a previous period may derive more innovation value from innovation inputs in subsequent periods than firms which had received no prior support. Section 4 of the paper outlines the main empirical results and </w:t>
      </w:r>
      <w:r w:rsidRPr="000A70B0">
        <w:rPr>
          <w:rFonts w:ascii="Arial" w:hAnsi="Arial" w:cs="Arial"/>
          <w:sz w:val="22"/>
          <w:szCs w:val="22"/>
        </w:rPr>
        <w:lastRenderedPageBreak/>
        <w:t xml:space="preserve">Section 5 concludes with a range of conceptual and policy implications. </w:t>
      </w:r>
    </w:p>
    <w:p w:rsidR="00A844B6" w:rsidRPr="001C34EE" w:rsidRDefault="000A70B0" w:rsidP="001C34EE">
      <w:pPr>
        <w:pStyle w:val="Heading1"/>
        <w:numPr>
          <w:ilvl w:val="0"/>
          <w:numId w:val="21"/>
        </w:numPr>
        <w:ind w:left="426" w:hanging="426"/>
        <w:rPr>
          <w:rFonts w:hint="eastAsia"/>
          <w:sz w:val="28"/>
          <w:szCs w:val="28"/>
        </w:rPr>
      </w:pPr>
      <w:bookmarkStart w:id="3" w:name="_Toc391474605"/>
      <w:r w:rsidRPr="001C34EE">
        <w:rPr>
          <w:sz w:val="28"/>
          <w:szCs w:val="28"/>
        </w:rPr>
        <w:t>DIMENSIONS OF ADDITIONALITY</w:t>
      </w:r>
      <w:bookmarkEnd w:id="3"/>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Central to the rationale for public policy intervention to support innovation is the notion of ‘additionality’, i.e. the extent to which additional innovation activity is stimulated by public support </w:t>
      </w:r>
      <w:r w:rsidRPr="00300C8D">
        <w:rPr>
          <w:rFonts w:ascii="Arial" w:hAnsi="Arial" w:cs="Arial"/>
          <w:noProof/>
        </w:rPr>
        <w:t>(Buiseret et al., 1995, Luukkonen, 2000, Georghiou, 2004)</w:t>
      </w:r>
      <w:r w:rsidRPr="00300C8D">
        <w:rPr>
          <w:rFonts w:ascii="Arial" w:hAnsi="Arial" w:cs="Arial"/>
        </w:rPr>
        <w:t xml:space="preserve">. This rationale is based mainly on a neo-classical economics perspective, premised on the notion that additional innovation activity will in turn lead to greater innovation spillovers than would have occurred in the absence of public support </w:t>
      </w:r>
      <w:r w:rsidRPr="00300C8D">
        <w:rPr>
          <w:rFonts w:ascii="Arial" w:hAnsi="Arial" w:cs="Arial"/>
          <w:noProof/>
        </w:rPr>
        <w:t>(Beugelsdijck and Cornet, 2001, Czarnitzki and Kraft, 2012, De Bondt, 1996)</w:t>
      </w:r>
      <w:r w:rsidRPr="00300C8D">
        <w:rPr>
          <w:rFonts w:ascii="Arial" w:hAnsi="Arial" w:cs="Arial"/>
        </w:rPr>
        <w:t>. Assessment of the effectiveness of public support has therefore mirrored this rationale and concentrated on measuring additionality in terms of firms’ resources (input additionality) and innovation results (output additionality) (Falk 2007)</w:t>
      </w:r>
      <w:r w:rsidRPr="00300C8D">
        <w:rPr>
          <w:rStyle w:val="FootnoteReference"/>
          <w:rFonts w:ascii="Arial" w:hAnsi="Arial" w:cs="Arial"/>
        </w:rPr>
        <w:footnoteReference w:id="1"/>
      </w:r>
      <w:r w:rsidRPr="00300C8D">
        <w:rPr>
          <w:rFonts w:ascii="Arial" w:hAnsi="Arial" w:cs="Arial"/>
        </w:rPr>
        <w:t>.  This has been supplemented in some instances by an assessment of pure and rent-based spillovers to other non-supported organisations (Griliches, 1995), or what Autio et al (2008) refer to as “second-order additionality”</w:t>
      </w:r>
      <w:r w:rsidRPr="00300C8D">
        <w:rPr>
          <w:rStyle w:val="FootnoteReference"/>
          <w:rFonts w:ascii="Arial" w:hAnsi="Arial" w:cs="Arial"/>
        </w:rPr>
        <w:footnoteReference w:id="2"/>
      </w:r>
      <w:r w:rsidRPr="00300C8D">
        <w:rPr>
          <w:rFonts w:ascii="Arial" w:hAnsi="Arial" w:cs="Arial"/>
        </w:rPr>
        <w:t xml:space="preserve">.   </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Other perspectives, notably organisational and learning theories, have increasingly emphasised that this neo-classical approach does not capture fully the behavioural effects of public support on firms’ innovation capabilities </w:t>
      </w:r>
      <w:r w:rsidRPr="00300C8D">
        <w:rPr>
          <w:rFonts w:ascii="Arial" w:hAnsi="Arial" w:cs="Arial"/>
          <w:noProof/>
        </w:rPr>
        <w:t>(Busisseret et al 1995, Georgiou 2002, Falk 2007, Clarysse et al., 2009, Hsu et al., 2009, Norrman and Bager-Sjogren, 2010, Afcha Chavez, 2011)</w:t>
      </w:r>
      <w:r w:rsidRPr="00300C8D">
        <w:rPr>
          <w:rFonts w:ascii="Arial" w:hAnsi="Arial" w:cs="Arial"/>
        </w:rPr>
        <w:t xml:space="preserve">.  Indeed, Georgiou (1997, 2002) argues that public support is less significant in determining if a project will go-ahead, but rather in determining the scale, scope and speed of the project. As such, behavioural additionality occurs alongside other input and/or output </w:t>
      </w:r>
      <w:r w:rsidRPr="00300C8D">
        <w:rPr>
          <w:rFonts w:ascii="Arial" w:hAnsi="Arial" w:cs="Arial"/>
        </w:rPr>
        <w:lastRenderedPageBreak/>
        <w:t xml:space="preserve">additionality effects. In other words, not only are short-term effects of public support reflected in the resources committed to a project (input additionality), or the results arising from a project (output additionality), but other complementary effects may also exist such as behavioural changes in the innovation process (behavioural additionality).  These behavioural changes may, however, be sustained beyond the lifetime of the project as learning effects are integrated and embedded in firms’ innovation routines and capabilities. In turn these learning effects may have positive longer-term effects on innovation outcomes.  </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There is substantial empirical evidence for the positive effect of public subsidies on short-term input and output additionality measures </w:t>
      </w:r>
      <w:r w:rsidRPr="00300C8D">
        <w:rPr>
          <w:rFonts w:ascii="Arial" w:hAnsi="Arial" w:cs="Arial"/>
          <w:noProof/>
        </w:rPr>
        <w:t>(see for example Aerts and Schmidt, 2008, Aschhoff and Fier, 2005, Buiseret et al., 1995, Czarnitzki and Licht, 2006, Hewitt-Dundas and Roper, 2009, Hsu et al., 2009)</w:t>
      </w:r>
      <w:r w:rsidRPr="00300C8D">
        <w:rPr>
          <w:rFonts w:ascii="Arial" w:hAnsi="Arial" w:cs="Arial"/>
        </w:rPr>
        <w:t xml:space="preserve">.  However, considerably fewer studies have attempted to assess behavioural additionality (Clarysse et al 2009, Georghiou, 2004). Part of the explanation for this is the ‘multi-layered’ (Georghiou 2004, 4) nature of behavioural additionality which makes it difficult to determine the mechanisms through which behavioural changes are evident, and the period of time over which their effect persists. Even less attention has been given to the legacy effects of additionality – whether for input, output or behavioural additionality – on longer-term innovation performance. In the following sections we therefore consider in more detail each type of additionality and their potential legacy effects. </w:t>
      </w:r>
    </w:p>
    <w:p w:rsidR="000A70B0" w:rsidRPr="00300C8D" w:rsidRDefault="000A70B0" w:rsidP="001C34EE">
      <w:pPr>
        <w:pStyle w:val="Heading1"/>
        <w:rPr>
          <w:rFonts w:hint="eastAsia"/>
        </w:rPr>
      </w:pPr>
      <w:bookmarkStart w:id="4" w:name="_Toc391474606"/>
      <w:r w:rsidRPr="00300C8D">
        <w:t>2.1</w:t>
      </w:r>
      <w:r w:rsidRPr="00300C8D">
        <w:tab/>
        <w:t>Input Additionality</w:t>
      </w:r>
      <w:bookmarkEnd w:id="4"/>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The expectation of input additionality is central to the neo-classical rationale for public support for innovation.  Here, resources are provided to firms to undertake activities that would not otherwise have occurred. Input additionality has therefore been understood as a quantitative measure, determined by ‘whether for every Euro provided in subsidy or other assistance, the firm spends at least an additional Euro on the target activity’ (Georghiou 2002, 1). Naturally this has simulated debate about the extent to which public investment acts as a complement to private </w:t>
      </w:r>
      <w:r w:rsidRPr="00300C8D">
        <w:rPr>
          <w:rFonts w:ascii="Arial" w:hAnsi="Arial" w:cs="Arial"/>
          <w:sz w:val="22"/>
          <w:szCs w:val="22"/>
        </w:rPr>
        <w:lastRenderedPageBreak/>
        <w:t>investment or as a substitute, crowding-out private expenditure (David et al 2000).  Reviews of crowding-out effects (David et al 2000, Garcia-Quevdeo 2004, Aerts and Schmidt 2008) find mixed results, although Aerts and Schmidt (2008) conclude that the majority of studies find little crowding out effect.</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Common to these empirical studies of crowding-out has been a focus on short-term effects. However, public subsidies may also lead to longer-term legacy effects which influence innovation outcomes in subsequent periods. This may occur where public support for innovation has a legacy of cost or quality impact on the in-house R&amp;D resources which a firm has available and deploys.  For example, Czarnitzki and Licht </w:t>
      </w:r>
      <w:r w:rsidRPr="00300C8D">
        <w:rPr>
          <w:rFonts w:ascii="Arial" w:hAnsi="Arial" w:cs="Arial"/>
          <w:noProof/>
          <w:sz w:val="22"/>
          <w:szCs w:val="22"/>
        </w:rPr>
        <w:t>(2006)</w:t>
      </w:r>
      <w:r w:rsidRPr="00300C8D">
        <w:rPr>
          <w:rFonts w:ascii="Arial" w:hAnsi="Arial" w:cs="Arial"/>
          <w:sz w:val="22"/>
          <w:szCs w:val="22"/>
        </w:rPr>
        <w:t xml:space="preserve"> found that R&amp;D subsidies raised R&amp;D intensity (i.e. R&amp;D spend per unit of sales) from 2.3 per cent to 6.4 per cent with potentially significant legacy impacts in terms of infrastructure or equipment. Therefore, public support in one period may enable a firm to invest in R&amp;D infrastructure or equipment which may enhance the innovation value of future R&amp;D investments. In other words, public innovation subsidies may lead to qualitative improvements in R&amp;D capacity such that for every Euro invested by a firm in R&amp;D in subsequent periods the innovation outputs are greater than those achieved by firms which did not previously receive public subsidies. This leads to our first proposition:</w:t>
      </w:r>
    </w:p>
    <w:p w:rsidR="000A70B0" w:rsidRPr="00300C8D" w:rsidRDefault="000A70B0" w:rsidP="009A26C3">
      <w:pPr>
        <w:spacing w:after="300" w:line="360" w:lineRule="auto"/>
        <w:ind w:left="720"/>
        <w:jc w:val="both"/>
        <w:rPr>
          <w:rFonts w:ascii="Arial" w:hAnsi="Arial" w:cs="Arial"/>
          <w:sz w:val="22"/>
          <w:szCs w:val="22"/>
        </w:rPr>
      </w:pPr>
      <w:r w:rsidRPr="00300C8D">
        <w:rPr>
          <w:rFonts w:ascii="Arial" w:hAnsi="Arial" w:cs="Arial"/>
          <w:sz w:val="22"/>
          <w:szCs w:val="22"/>
        </w:rPr>
        <w:t>Proposition 1: Past receipt of public subsidies for innovation will increase the innovation returns from current R&amp;D investments</w:t>
      </w:r>
      <w:r w:rsidR="00787A0C">
        <w:rPr>
          <w:rFonts w:ascii="Arial" w:hAnsi="Arial" w:cs="Arial"/>
          <w:sz w:val="22"/>
          <w:szCs w:val="22"/>
        </w:rPr>
        <w:t>.</w:t>
      </w:r>
    </w:p>
    <w:p w:rsidR="000A70B0" w:rsidRPr="00300C8D" w:rsidRDefault="000A70B0" w:rsidP="001C34EE">
      <w:pPr>
        <w:pStyle w:val="Heading1"/>
        <w:rPr>
          <w:rFonts w:hint="eastAsia"/>
        </w:rPr>
      </w:pPr>
      <w:bookmarkStart w:id="5" w:name="_Toc391474607"/>
      <w:r w:rsidRPr="00300C8D">
        <w:t>2.2</w:t>
      </w:r>
      <w:r w:rsidRPr="00300C8D">
        <w:tab/>
        <w:t>Output additionality</w:t>
      </w:r>
      <w:bookmarkEnd w:id="5"/>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Where innovation investment occurs there is an expectation of outputs or results (Falk, 2004). Output additionality relates to those outputs from the innovation process which would not have occurred in the absence of public subsidies (Luukkonen 2000, Georghiou 2002).  At least two difficulties have been identified relating to the identification and measurement of output additionality. First, the relationship between innovation investment and outputs is neither linear nor independent of other innovation investments.  </w:t>
      </w:r>
      <w:r w:rsidRPr="00300C8D">
        <w:rPr>
          <w:rFonts w:ascii="Arial" w:hAnsi="Arial" w:cs="Arial"/>
        </w:rPr>
        <w:lastRenderedPageBreak/>
        <w:t xml:space="preserve">For example, from a structuralist-evolutionary perspective Bach and Matt (2002) argue that there is not a direct and unambiguous relationship between innovation inputs and outputs. Similarly, Clarysse et al (2009) suggest the possibility that both intra- and inter-organisational knowledge spillovers may result from any innovation project creating difficulties in isolating the effects of public and private investments. </w:t>
      </w:r>
    </w:p>
    <w:p w:rsidR="000B51E0" w:rsidRDefault="000A70B0" w:rsidP="000B51E0">
      <w:pPr>
        <w:pStyle w:val="EndnoteText"/>
        <w:spacing w:after="300" w:line="360" w:lineRule="auto"/>
        <w:jc w:val="both"/>
        <w:rPr>
          <w:rFonts w:ascii="Arial" w:hAnsi="Arial" w:cs="Arial"/>
        </w:rPr>
      </w:pPr>
      <w:r w:rsidRPr="00300C8D">
        <w:rPr>
          <w:rFonts w:ascii="Arial" w:hAnsi="Arial" w:cs="Arial"/>
        </w:rPr>
        <w:t xml:space="preserve">Second, there is no universally accepted measure of innovation output additionality (Clarysse et al 2009). As with input additionality, assessments of output additionality have typically been quantitative including direct indicators such as patents, downstream indicators such as the share of sales from new and improved products, and also indirect indicators including value added, profitability etc. Virtually no consideration has been given to qualitative aspects of output additionality and how these might influence innovation outcomes over the longer-term.  For example, public subsidies for innovation may enable firms to introduce new, higher quality products or accelerate their NPD processes </w:t>
      </w:r>
      <w:r w:rsidRPr="00300C8D">
        <w:rPr>
          <w:rFonts w:ascii="Arial" w:hAnsi="Arial" w:cs="Arial"/>
          <w:noProof/>
        </w:rPr>
        <w:t>(Luukkonen, 2000)</w:t>
      </w:r>
      <w:r w:rsidRPr="00300C8D">
        <w:rPr>
          <w:rFonts w:ascii="Arial" w:hAnsi="Arial" w:cs="Arial"/>
        </w:rPr>
        <w:t xml:space="preserve">. It may, however, take longer than the period during which public support is received to achieve these outputs and therefore short-term evaluations may underestimate project results. Even where these outputs are achieved in the funding period, the creation of more novel, more complex or more successful products than otherwise may have legacy effects leading to a ‘quality ladder’ in subsequent periods </w:t>
      </w:r>
      <w:r w:rsidRPr="00300C8D">
        <w:rPr>
          <w:rFonts w:ascii="Arial" w:hAnsi="Arial" w:cs="Arial"/>
          <w:noProof/>
        </w:rPr>
        <w:t>(Grossman and Helpman, 1991)</w:t>
      </w:r>
      <w:r w:rsidRPr="00300C8D">
        <w:rPr>
          <w:rStyle w:val="FootnoteReference"/>
          <w:rFonts w:ascii="Arial" w:hAnsi="Arial" w:cs="Arial"/>
        </w:rPr>
        <w:footnoteReference w:id="3"/>
      </w:r>
      <w:r w:rsidRPr="00300C8D">
        <w:rPr>
          <w:rFonts w:ascii="Arial" w:hAnsi="Arial" w:cs="Arial"/>
        </w:rPr>
        <w:t xml:space="preserve">. For example, Alecke et al. </w:t>
      </w:r>
      <w:r w:rsidRPr="00300C8D">
        <w:rPr>
          <w:rFonts w:ascii="Arial" w:hAnsi="Arial" w:cs="Arial"/>
          <w:noProof/>
        </w:rPr>
        <w:t>(2012)</w:t>
      </w:r>
      <w:r w:rsidRPr="00300C8D">
        <w:rPr>
          <w:rFonts w:ascii="Arial" w:hAnsi="Arial" w:cs="Arial"/>
        </w:rPr>
        <w:t xml:space="preserve"> suggest that for firms receiving R&amp;D subsidies in East Germany the probability of making related patent applications – an indication of innovation quality – rises from 20 to 40 per cent. The implication is that public innovation subsidies may generate legacy effects on future innovation outcomes through short-term improvements in technology or product cost which are greater in firms which received innovation subsidies. This suggests our second proposition:</w:t>
      </w:r>
    </w:p>
    <w:p w:rsidR="000B51E0" w:rsidRDefault="000B51E0" w:rsidP="000B51E0">
      <w:pPr>
        <w:pStyle w:val="EndnoteText"/>
        <w:spacing w:after="300" w:line="360" w:lineRule="auto"/>
        <w:jc w:val="both"/>
        <w:rPr>
          <w:rFonts w:ascii="Arial" w:hAnsi="Arial" w:cs="Arial"/>
        </w:rPr>
      </w:pPr>
    </w:p>
    <w:p w:rsidR="000A70B0" w:rsidRPr="00300C8D" w:rsidRDefault="000A70B0" w:rsidP="000B51E0">
      <w:pPr>
        <w:pStyle w:val="EndnoteText"/>
        <w:spacing w:after="300" w:line="360" w:lineRule="auto"/>
        <w:ind w:left="720"/>
        <w:jc w:val="both"/>
        <w:rPr>
          <w:rFonts w:ascii="Arial" w:hAnsi="Arial" w:cs="Arial"/>
        </w:rPr>
      </w:pPr>
      <w:r w:rsidRPr="00300C8D">
        <w:rPr>
          <w:rFonts w:ascii="Arial" w:hAnsi="Arial" w:cs="Arial"/>
        </w:rPr>
        <w:lastRenderedPageBreak/>
        <w:t>Proposition 2: Past receipt of public subsidies for innovation will increase the value of past innovation as the basis for current innovation.</w:t>
      </w:r>
    </w:p>
    <w:p w:rsidR="000A70B0" w:rsidRPr="00787A0C" w:rsidRDefault="000A70B0" w:rsidP="00300C8D">
      <w:pPr>
        <w:pStyle w:val="EndnoteText"/>
        <w:spacing w:after="300" w:line="360" w:lineRule="auto"/>
        <w:jc w:val="both"/>
        <w:rPr>
          <w:rFonts w:ascii="Arial" w:hAnsi="Arial" w:cs="Arial"/>
        </w:rPr>
      </w:pPr>
      <w:r w:rsidRPr="00300C8D">
        <w:rPr>
          <w:rFonts w:ascii="Arial" w:hAnsi="Arial" w:cs="Arial"/>
        </w:rPr>
        <w:t>In terms of the innovation production function this means that the relationship between current innovation outputs and lagged innovation outputs will be positively moderated by firms’ receipt of public subsidies in the previous period (Figure 1).</w:t>
      </w:r>
    </w:p>
    <w:p w:rsidR="000A70B0" w:rsidRPr="00300C8D" w:rsidRDefault="000A70B0" w:rsidP="001C34EE">
      <w:pPr>
        <w:pStyle w:val="Heading1"/>
        <w:rPr>
          <w:rFonts w:hint="eastAsia"/>
        </w:rPr>
      </w:pPr>
      <w:bookmarkStart w:id="6" w:name="_Toc391474608"/>
      <w:r w:rsidRPr="00300C8D">
        <w:t>2.3</w:t>
      </w:r>
      <w:r w:rsidRPr="00300C8D">
        <w:tab/>
        <w:t>Behavioural additionality</w:t>
      </w:r>
      <w:bookmarkEnd w:id="6"/>
    </w:p>
    <w:p w:rsidR="000A70B0" w:rsidRPr="00300C8D" w:rsidRDefault="000A70B0" w:rsidP="00787A0C">
      <w:pPr>
        <w:spacing w:after="300" w:line="360" w:lineRule="auto"/>
        <w:jc w:val="both"/>
        <w:rPr>
          <w:rFonts w:ascii="Arial" w:hAnsi="Arial" w:cs="Arial"/>
          <w:sz w:val="22"/>
          <w:szCs w:val="22"/>
        </w:rPr>
      </w:pPr>
      <w:r w:rsidRPr="00300C8D">
        <w:rPr>
          <w:rFonts w:ascii="Arial" w:hAnsi="Arial" w:cs="Arial"/>
          <w:sz w:val="22"/>
          <w:szCs w:val="22"/>
        </w:rPr>
        <w:t xml:space="preserve">In recent years, the range of potential effects that have been considered in evaluating the effectiveness of public subsidies for innovation has extended beyond quantitative indicators of input and output additionality to include potential effects on the innovation capabilities of the firm </w:t>
      </w:r>
      <w:r w:rsidRPr="00300C8D">
        <w:rPr>
          <w:rFonts w:ascii="Arial" w:hAnsi="Arial" w:cs="Arial"/>
          <w:noProof/>
          <w:sz w:val="22"/>
          <w:szCs w:val="22"/>
        </w:rPr>
        <w:t>(Afcha Chavez, 2011, Clarysse et al., 2009, Hsu et al., 2009, Norrman and Bager-Sjogren, 2010)</w:t>
      </w:r>
      <w:r w:rsidRPr="00300C8D">
        <w:rPr>
          <w:rFonts w:ascii="Arial" w:hAnsi="Arial" w:cs="Arial"/>
          <w:sz w:val="22"/>
          <w:szCs w:val="22"/>
        </w:rPr>
        <w:t>. In the evaluation literature this is discussed in terms of behavioural additionality (Buisseret et al 1995, Davenport et al 1998, Georghiou 2002).  However, a lack of consensus as to what is understood by the notion of behavioural additionality has led to a wide variety of assessment approaches (Cunningham et al 2013). Indeed the OECD’s (2006) pilot project identified seven dimensions of behavioural additionality ranging from project acceleration, scale and scope to the formation of collaborative networks and change in management practices. Roper et al. (2004) also conclude that innovation subsidies may lead to increments in firms’ private knowledge stock, development of firms’ capabilities for subsequent R&amp;D productivity, and benefits arising from the commercial exploitation of R&amp;D</w:t>
      </w:r>
      <w:r w:rsidRPr="00300C8D">
        <w:rPr>
          <w:rStyle w:val="FootnoteReference"/>
          <w:rFonts w:ascii="Arial" w:hAnsi="Arial" w:cs="Arial"/>
          <w:sz w:val="22"/>
          <w:szCs w:val="22"/>
        </w:rPr>
        <w:footnoteReference w:id="4"/>
      </w:r>
      <w:r w:rsidRPr="00300C8D">
        <w:rPr>
          <w:rFonts w:ascii="Arial" w:hAnsi="Arial" w:cs="Arial"/>
          <w:sz w:val="22"/>
          <w:szCs w:val="22"/>
        </w:rPr>
        <w:t xml:space="preserve">. </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Recently, efforts to examine behavioural changes have drawn on an organisational learning perspective (Bontis 1998, Clarysse et al 2009, Knockaert et al 2013). Knockaert et al (2013), although focusing on the effect of intermediary organisations on firms’ innovation behaviour, consider behavioural additionality in terms of improvements in firms’ </w:t>
      </w:r>
      <w:r w:rsidRPr="00300C8D">
        <w:rPr>
          <w:rFonts w:ascii="Arial" w:hAnsi="Arial" w:cs="Arial"/>
        </w:rPr>
        <w:lastRenderedPageBreak/>
        <w:t>cognitive capacity (Bach and Matt 2002), defined as ‘the positive impact on competencies, expertise and networks’ (Knockaert et al 2013, 3).  These three dimensions of cognitive capacity mirror closely the approach adopted by Clarysse et al (2009) in examining the effect of direct public support (R&amp;D subsidies) on organisational learning through congenital learning (competencies), experiential learning (expertise) and inter-organisational learning (networks). However, both of these studies of additionality draw on the well-established organisational learning literature with Bontis (1998) conceptualising intellectual capital in an organisation as the sum of: human capital i.e. congenital learning (Clarysse et al 2009) or competencies (Knockaert et al 2013); structural capital relating to the embedding of organisational knowledge through routines i.e. experiential learning (Clarysse et al 2009) or expertise (Knockaert et al 2013); and customer capital which Bontis (1998) refers to as knowledge embedded outside the firm and developed through inter-organisational learning (Clarysse et al 2009, Knockaert et al 2013).  Following Clarysse et al (2009) we consider behavioural additionality through the lens of organisational learning, and discuss each of these three learning mechanisms (i.e. congenital, inter-organisational and experiential) in turn.</w:t>
      </w:r>
    </w:p>
    <w:p w:rsidR="000A70B0" w:rsidRPr="00787A0C" w:rsidRDefault="000A70B0" w:rsidP="001C34EE">
      <w:pPr>
        <w:pStyle w:val="Heading1"/>
        <w:rPr>
          <w:rFonts w:hint="eastAsia"/>
        </w:rPr>
      </w:pPr>
      <w:bookmarkStart w:id="7" w:name="_Toc391474609"/>
      <w:r w:rsidRPr="00787A0C">
        <w:t>2.3.1</w:t>
      </w:r>
      <w:r w:rsidRPr="00787A0C">
        <w:tab/>
        <w:t>Congenital additionality</w:t>
      </w:r>
      <w:bookmarkEnd w:id="7"/>
      <w:r w:rsidRPr="00787A0C">
        <w:t xml:space="preserve"> </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Firms’ ‘cognitive capacity’ (Bach and Matt 2003, Knockaert et al 2013) is comprised of two dimensions: human capital which Bontis (1998, 65) refers to as ‘the sheer intelligence of the organizational members’ and inter-organisational networks.  In order words, cognitive capacity refers to the internal knowledge (intellectual) stock in a firm and the enhancement of this through external knowledge networks. From an organisational learning perspective, congenital learning is then defined as the individual’s education and experience at the individual knowledge node, i.e. that internal to the mind of the employee (Bontis 1998). At the organisational level, the stock of human capital and the potential for congenital learning is therefore measured as the sum of employees’ education and experience. </w:t>
      </w:r>
    </w:p>
    <w:p w:rsidR="000B51E0" w:rsidRDefault="000B51E0">
      <w:pPr>
        <w:rPr>
          <w:rFonts w:ascii="Arial" w:eastAsiaTheme="minorEastAsia" w:hAnsi="Arial" w:cs="Arial"/>
          <w:sz w:val="22"/>
          <w:szCs w:val="22"/>
          <w:lang w:val="en-GB"/>
        </w:rPr>
      </w:pPr>
      <w:r>
        <w:rPr>
          <w:rFonts w:ascii="Arial" w:hAnsi="Arial" w:cs="Arial"/>
        </w:rPr>
        <w:br w:type="page"/>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lastRenderedPageBreak/>
        <w:t xml:space="preserve">Critical to our concern with behavioural additionality through organisational learning is the path dependent and cumulative nature of congenital learning.  A number of other studies have found evidence that public subsidies for innovation lead to more challenging research being undertaken.  For example, of those firms involved in the R&amp;D Start Programme in Australia (DITRA 2006), 78 per cent undertook more challenging activities than would have occurred in the absence of the subsidy.  Similarly, in Germany (Fier et al 2006), funding for R&amp;D projects led to 60 per cent of firms undertaking more technically challenging projects with similar figures being reported for firms engaging in the Finish programmes (Hyvärinen et al, 2006). This suggests that firms undertaking publicly subsidised innovation may develop new or improved skill sets which add value to </w:t>
      </w:r>
      <w:r w:rsidRPr="00300C8D">
        <w:rPr>
          <w:rFonts w:ascii="Arial" w:hAnsi="Arial" w:cs="Arial"/>
          <w:i/>
        </w:rPr>
        <w:t>subsequent</w:t>
      </w:r>
      <w:r w:rsidRPr="00300C8D">
        <w:rPr>
          <w:rFonts w:ascii="Arial" w:hAnsi="Arial" w:cs="Arial"/>
        </w:rPr>
        <w:t xml:space="preserve"> innovation projects </w:t>
      </w:r>
      <w:r w:rsidRPr="00300C8D">
        <w:rPr>
          <w:rFonts w:ascii="Arial" w:hAnsi="Arial" w:cs="Arial"/>
          <w:noProof/>
        </w:rPr>
        <w:t>(Leiponen, 2005)</w:t>
      </w:r>
      <w:r w:rsidRPr="00300C8D">
        <w:rPr>
          <w:rFonts w:ascii="Arial" w:hAnsi="Arial" w:cs="Arial"/>
        </w:rPr>
        <w:t>. Indeed, Sakibara (1997) found that the development of managers’ skills were the most important benefit which firms derived from involvement in publicly funded R&amp;D projects. The implication is that public subsidies for innovation may lead to congenital learning and improvements in the quality or skills of firms’ human resources with potentially positive legacy effects. Therefore:</w:t>
      </w:r>
    </w:p>
    <w:p w:rsidR="000A70B0" w:rsidRPr="00300C8D" w:rsidRDefault="000A70B0" w:rsidP="009375BE">
      <w:pPr>
        <w:spacing w:after="300" w:line="360" w:lineRule="auto"/>
        <w:ind w:left="720"/>
        <w:jc w:val="both"/>
        <w:rPr>
          <w:rFonts w:ascii="Arial" w:hAnsi="Arial" w:cs="Arial"/>
          <w:sz w:val="22"/>
          <w:szCs w:val="22"/>
        </w:rPr>
      </w:pPr>
      <w:r w:rsidRPr="00300C8D">
        <w:rPr>
          <w:rFonts w:ascii="Arial" w:hAnsi="Arial" w:cs="Arial"/>
          <w:sz w:val="22"/>
          <w:szCs w:val="22"/>
        </w:rPr>
        <w:t xml:space="preserve">Proposition 3: Past receipt of public subsidies for innovation will increase the innovation returns from current human capital. </w:t>
      </w:r>
    </w:p>
    <w:p w:rsidR="000A70B0" w:rsidRPr="00787A0C" w:rsidRDefault="000A70B0" w:rsidP="001C34EE">
      <w:pPr>
        <w:pStyle w:val="Heading1"/>
        <w:rPr>
          <w:rFonts w:hint="eastAsia"/>
        </w:rPr>
      </w:pPr>
      <w:bookmarkStart w:id="8" w:name="_Toc391474610"/>
      <w:r w:rsidRPr="00787A0C">
        <w:t>2.3.2</w:t>
      </w:r>
      <w:r w:rsidRPr="00787A0C">
        <w:tab/>
        <w:t>Inter-organisational additionality</w:t>
      </w:r>
      <w:bookmarkEnd w:id="8"/>
      <w:r w:rsidRPr="00787A0C">
        <w:t xml:space="preserve"> </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Firms’ innovation outputs depend increasingly, not only on the quality and scale of their internal resources but also on their external networks and operating environment </w:t>
      </w:r>
      <w:r w:rsidRPr="00300C8D">
        <w:rPr>
          <w:rFonts w:ascii="Arial" w:hAnsi="Arial" w:cs="Arial"/>
          <w:noProof/>
        </w:rPr>
        <w:t>(Chesborough, 2003, Chesborough, 2006)</w:t>
      </w:r>
      <w:r w:rsidRPr="00300C8D">
        <w:rPr>
          <w:rFonts w:ascii="Arial" w:hAnsi="Arial" w:cs="Arial"/>
        </w:rPr>
        <w:t xml:space="preserve">. The asymmetric nature of firms’ resources and competencies create the potential for learning (Dosi 1997) through inter-organisational collaboration and the transfer of tacit and explicit knowledge, also referred to as ‘vicarious learning’ (Ingram and Baum, 1997). Learning may be manifest in various ways, for example, </w:t>
      </w:r>
      <w:r w:rsidRPr="00300C8D">
        <w:rPr>
          <w:rFonts w:ascii="Arial" w:hAnsi="Arial" w:cs="Arial"/>
          <w:lang w:val="en-US"/>
        </w:rPr>
        <w:t xml:space="preserve">financially where </w:t>
      </w:r>
      <w:r w:rsidRPr="00300C8D">
        <w:rPr>
          <w:rFonts w:ascii="Arial" w:hAnsi="Arial" w:cs="Arial"/>
        </w:rPr>
        <w:t xml:space="preserve">external linkages increase firms’ ability to appropriate the returns from innovation, by stimulating creativity, reducing risk, accelerating or upgrading the quality of the </w:t>
      </w:r>
      <w:r w:rsidRPr="00300C8D">
        <w:rPr>
          <w:rFonts w:ascii="Arial" w:hAnsi="Arial" w:cs="Arial"/>
        </w:rPr>
        <w:lastRenderedPageBreak/>
        <w:t xml:space="preserve">innovations made, and/or signalling the quality of firms’ innovation activities (Powell </w:t>
      </w:r>
      <w:r w:rsidRPr="00300C8D">
        <w:rPr>
          <w:rFonts w:ascii="Arial" w:hAnsi="Arial" w:cs="Arial"/>
          <w:noProof/>
        </w:rPr>
        <w:t>1998)</w:t>
      </w:r>
      <w:r w:rsidRPr="00300C8D">
        <w:rPr>
          <w:rFonts w:ascii="Arial" w:hAnsi="Arial" w:cs="Arial"/>
        </w:rPr>
        <w:t xml:space="preserve">. External links may also lead to learning as firms search the technological environment systematically, permitting access to improved technology developed elsewhere </w:t>
      </w:r>
      <w:r w:rsidRPr="00300C8D">
        <w:rPr>
          <w:rFonts w:ascii="Arial" w:hAnsi="Arial" w:cs="Arial"/>
          <w:noProof/>
        </w:rPr>
        <w:t>(Laursen and Salter, 2006)</w:t>
      </w:r>
      <w:r w:rsidRPr="00300C8D">
        <w:rPr>
          <w:rFonts w:ascii="Arial" w:hAnsi="Arial" w:cs="Arial"/>
        </w:rPr>
        <w:t xml:space="preserve">. </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A review of R&amp;D programme evaluations across eleven countries concluded that firms in receipt of public support were more likely to collaborate with other businesses (OECD 2006). In other words, innovation support led to the development of new inter-organisational collaborations with the associated potential for knowledge transfer and learning.  This suggests that where public subsidies for innovation encourage firms to broaden or deepen their external innovation linkages this may generate inter-organisational additionality. As with congenital learning, inter-organisational learning is cumulative and path dependent with the acquisition of new knowledge dependent on previously acquired knowledge (Powell et al 1996)</w:t>
      </w:r>
      <w:r w:rsidRPr="00300C8D">
        <w:rPr>
          <w:rStyle w:val="FootnoteReference"/>
          <w:rFonts w:ascii="Arial" w:hAnsi="Arial" w:cs="Arial"/>
        </w:rPr>
        <w:footnoteReference w:id="5"/>
      </w:r>
      <w:r w:rsidRPr="00300C8D">
        <w:rPr>
          <w:rFonts w:ascii="Arial" w:hAnsi="Arial" w:cs="Arial"/>
        </w:rPr>
        <w:t>. The implication is that public subsidies for innovation may increase the effectiveness or depth of firms’ external linkages generating positive legacy effects. Therefore:</w:t>
      </w:r>
    </w:p>
    <w:p w:rsidR="000A70B0" w:rsidRPr="00300C8D" w:rsidRDefault="000A70B0" w:rsidP="009375BE">
      <w:pPr>
        <w:spacing w:after="300" w:line="360" w:lineRule="auto"/>
        <w:ind w:left="720"/>
        <w:jc w:val="both"/>
        <w:rPr>
          <w:rFonts w:ascii="Arial" w:hAnsi="Arial" w:cs="Arial"/>
          <w:sz w:val="22"/>
          <w:szCs w:val="22"/>
        </w:rPr>
      </w:pPr>
      <w:r w:rsidRPr="00300C8D">
        <w:rPr>
          <w:rFonts w:ascii="Arial" w:hAnsi="Arial" w:cs="Arial"/>
          <w:sz w:val="22"/>
          <w:szCs w:val="22"/>
        </w:rPr>
        <w:t>Proposition 4: Past receipt of public subsidies for innovation will increase the innovation returns from current inter-organisational linkages.</w:t>
      </w:r>
    </w:p>
    <w:p w:rsidR="000A70B0" w:rsidRPr="009A0193" w:rsidRDefault="000A70B0" w:rsidP="001C34EE">
      <w:pPr>
        <w:pStyle w:val="Heading1"/>
        <w:rPr>
          <w:rFonts w:hint="eastAsia"/>
        </w:rPr>
      </w:pPr>
      <w:bookmarkStart w:id="9" w:name="_Toc391474611"/>
      <w:r w:rsidRPr="009A0193">
        <w:t>2.3.3</w:t>
      </w:r>
      <w:r w:rsidRPr="009A0193">
        <w:tab/>
        <w:t>Experiential additionality</w:t>
      </w:r>
      <w:bookmarkEnd w:id="9"/>
      <w:r w:rsidRPr="009A0193">
        <w:t xml:space="preserve"> </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The third mechanism through which firms may experience persistent behavioural additionality effects from public subsidies for innovation, is through experiential learning. In the innovation literature discussion of experiential learning has largely been in terms of dynamic capabilities (Zhara and George 2002) whereby firms reconfigure the routines and processes used to acquire, assimilate, transform and exploit knowledge in response to changing technological and market environments. However, the organisational learning literature drew attention much earlier to the </w:t>
      </w:r>
      <w:r w:rsidRPr="00300C8D">
        <w:rPr>
          <w:rFonts w:ascii="Arial" w:hAnsi="Arial" w:cs="Arial"/>
        </w:rPr>
        <w:lastRenderedPageBreak/>
        <w:t>importance of ‘learning new knowledge and discarding obsolete and misleading knowledge (Hedberg 1981, 3), or ‘reducing or eliminating pre-existing knowledge or habits that would otherwise represent formidable barriers to new learning’ (Newstrom 1983, 36).  This ability to reconfigure routines and processes is particularly important in volatile technological or market conditions with Cegarra-Navarro and Wensley (2009, 534) stating that faced with such turbulence, the ‘effective transfer and transformation processes for congenital knowledge might be counterproductive if they operate uncritically’.</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In the innovation literature, both conceptual and empirical analysis of experiential learning is limited </w:t>
      </w:r>
      <w:r w:rsidRPr="00300C8D">
        <w:rPr>
          <w:rFonts w:ascii="Arial" w:hAnsi="Arial" w:cs="Arial"/>
          <w:noProof/>
        </w:rPr>
        <w:t>(Allen and Holling, 2010, Mugdh and Pilla, 2011)</w:t>
      </w:r>
      <w:r w:rsidRPr="00300C8D">
        <w:rPr>
          <w:rFonts w:ascii="Arial" w:hAnsi="Arial" w:cs="Arial"/>
        </w:rPr>
        <w:t xml:space="preserve">. More commonly, studies have focused on the extent to which firms apply for and receive subsequent public innovation subsidies (Clarysse et al 2009, Falk 2006, DITRA 2006), however, only partially reflects the the essence of experiential learning as ‘embedded within the routines of an organization… internal to the firm but external to the human capital nodes’ (Bontis, 1998, 66).   Other innovation studies, albeit neglecting the effect of public support, have discussed the relationship between innovation and perceived environmental uncertainty </w:t>
      </w:r>
      <w:r w:rsidRPr="00300C8D">
        <w:rPr>
          <w:rFonts w:ascii="Arial" w:hAnsi="Arial" w:cs="Arial"/>
          <w:noProof/>
        </w:rPr>
        <w:t>(Freel, 2005)</w:t>
      </w:r>
      <w:r w:rsidRPr="00300C8D">
        <w:rPr>
          <w:rFonts w:ascii="Arial" w:hAnsi="Arial" w:cs="Arial"/>
        </w:rPr>
        <w:t xml:space="preserve"> and innovation persistence </w:t>
      </w:r>
      <w:r w:rsidRPr="00300C8D">
        <w:rPr>
          <w:rFonts w:ascii="Arial" w:hAnsi="Arial" w:cs="Arial"/>
          <w:noProof/>
        </w:rPr>
        <w:t>(Raymond et al., 2010, Roper and Hewitt-Dundas, 2008)</w:t>
      </w:r>
      <w:r w:rsidRPr="00300C8D">
        <w:rPr>
          <w:rFonts w:ascii="Arial" w:hAnsi="Arial" w:cs="Arial"/>
        </w:rPr>
        <w:t xml:space="preserve">. Strategic perspectives, for example, suggest that market turbulence may create new competitive spaces as rivals close or retrench </w:t>
      </w:r>
      <w:r w:rsidRPr="00300C8D">
        <w:rPr>
          <w:rFonts w:ascii="Arial" w:hAnsi="Arial" w:cs="Arial"/>
          <w:noProof/>
        </w:rPr>
        <w:t>(Caballero and Hammour, 1994)</w:t>
      </w:r>
      <w:r w:rsidRPr="00300C8D">
        <w:rPr>
          <w:rFonts w:ascii="Arial" w:hAnsi="Arial" w:cs="Arial"/>
        </w:rPr>
        <w:t xml:space="preserve">, potentially increasing the returns to innovation </w:t>
      </w:r>
      <w:r w:rsidRPr="00300C8D">
        <w:rPr>
          <w:rFonts w:ascii="Arial" w:hAnsi="Arial" w:cs="Arial"/>
          <w:noProof/>
        </w:rPr>
        <w:t>(Todd, 2010)</w:t>
      </w:r>
      <w:r w:rsidRPr="00300C8D">
        <w:rPr>
          <w:rFonts w:ascii="Arial" w:hAnsi="Arial" w:cs="Arial"/>
        </w:rPr>
        <w:t xml:space="preserve">. Indeed, some firms may actively seek to create market turbulence by engaging in disruptive innovation in order to establish a position of market or technological leadership </w:t>
      </w:r>
      <w:r w:rsidRPr="00300C8D">
        <w:rPr>
          <w:rFonts w:ascii="Arial" w:hAnsi="Arial" w:cs="Arial"/>
          <w:noProof/>
        </w:rPr>
        <w:t>(Anthony et al., 2008)</w:t>
      </w:r>
      <w:r w:rsidRPr="00300C8D">
        <w:rPr>
          <w:rFonts w:ascii="Arial" w:hAnsi="Arial" w:cs="Arial"/>
        </w:rPr>
        <w:t xml:space="preserve">. </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 xml:space="preserve">Despite the lack of conceptual and empirical analysis of experiential additionality, evidence demonstrating that firms undertake larger or more technologically advanced projects with public subsidies creates the potential for experiential learning effects, or experiential additionality.  In other words, such innovation projects may lead to changes in existing processes and routines and/or the introduction of new ones through exploration and reflection. Dependent on firms’ ability to capture this </w:t>
      </w:r>
      <w:r w:rsidRPr="00300C8D">
        <w:rPr>
          <w:rFonts w:ascii="Arial" w:hAnsi="Arial" w:cs="Arial"/>
        </w:rPr>
        <w:lastRenderedPageBreak/>
        <w:t>learning (De Holan and Philips 2004), public subsidies for innovation may mean that firms are able to reconfigure their resources and innovation processes in subsequent periods. That is, the legacy effect of experiential learning associated with receipt of innovation subsidies will be greater than for those firms without prior public support:</w:t>
      </w:r>
    </w:p>
    <w:p w:rsidR="000A70B0" w:rsidRPr="00300C8D" w:rsidRDefault="000A70B0" w:rsidP="00BA6F8E">
      <w:pPr>
        <w:spacing w:after="300" w:line="360" w:lineRule="auto"/>
        <w:ind w:left="720"/>
        <w:jc w:val="both"/>
        <w:rPr>
          <w:rFonts w:ascii="Arial" w:hAnsi="Arial" w:cs="Arial"/>
          <w:sz w:val="22"/>
          <w:szCs w:val="22"/>
        </w:rPr>
      </w:pPr>
      <w:r w:rsidRPr="00300C8D">
        <w:rPr>
          <w:rFonts w:ascii="Arial" w:hAnsi="Arial" w:cs="Arial"/>
          <w:sz w:val="22"/>
          <w:szCs w:val="22"/>
        </w:rPr>
        <w:t>Proposition 5: Past receipt of public subsidies for innovation will increase the innovation returns from current organisational routines</w:t>
      </w:r>
    </w:p>
    <w:p w:rsidR="000A70B0" w:rsidRPr="001C34EE" w:rsidRDefault="006D209B" w:rsidP="001C34EE">
      <w:pPr>
        <w:pStyle w:val="Heading1"/>
        <w:rPr>
          <w:rFonts w:hint="eastAsia"/>
          <w:sz w:val="28"/>
          <w:szCs w:val="28"/>
        </w:rPr>
      </w:pPr>
      <w:bookmarkStart w:id="10" w:name="_Toc391474612"/>
      <w:r w:rsidRPr="001C34EE">
        <w:rPr>
          <w:sz w:val="28"/>
          <w:szCs w:val="28"/>
        </w:rPr>
        <w:t>3. DATA AND METHODS</w:t>
      </w:r>
      <w:bookmarkEnd w:id="10"/>
      <w:r w:rsidRPr="001C34EE">
        <w:rPr>
          <w:sz w:val="28"/>
          <w:szCs w:val="28"/>
        </w:rPr>
        <w:t xml:space="preserve"> </w:t>
      </w:r>
    </w:p>
    <w:p w:rsidR="000A70B0" w:rsidRPr="00300C8D" w:rsidRDefault="000A70B0" w:rsidP="00300C8D">
      <w:pPr>
        <w:pStyle w:val="Default"/>
        <w:spacing w:after="300" w:line="360" w:lineRule="auto"/>
        <w:jc w:val="both"/>
        <w:rPr>
          <w:rFonts w:ascii="Arial" w:hAnsi="Arial" w:cs="Arial"/>
          <w:color w:val="auto"/>
          <w:sz w:val="22"/>
          <w:szCs w:val="22"/>
        </w:rPr>
      </w:pPr>
      <w:r w:rsidRPr="00300C8D">
        <w:rPr>
          <w:rFonts w:ascii="Arial" w:hAnsi="Arial" w:cs="Arial"/>
          <w:color w:val="auto"/>
          <w:sz w:val="22"/>
          <w:szCs w:val="22"/>
        </w:rPr>
        <w:t xml:space="preserve">Our empirical analysis is based on data from the Irish Innovation Panel (IIP) which provides information on the innovation activities of Irish manufacturing plants over the period 1991 to 2011. More specifically, the IIP comprises seven surveys or waves conducted using similar survey methodologies and questionnaires with common questions </w:t>
      </w:r>
      <w:r w:rsidRPr="00300C8D">
        <w:rPr>
          <w:rFonts w:ascii="Arial" w:hAnsi="Arial" w:cs="Arial"/>
          <w:noProof/>
          <w:color w:val="auto"/>
          <w:sz w:val="22"/>
          <w:szCs w:val="22"/>
        </w:rPr>
        <w:t>(Roper et al, 1996, Roper and Hewitt-Dundas, 1998, Roper and Anderson, 2000, Hewitt-Dundas and Roper, 2008)</w:t>
      </w:r>
      <w:r w:rsidRPr="00300C8D">
        <w:rPr>
          <w:rFonts w:ascii="Arial" w:hAnsi="Arial" w:cs="Arial"/>
          <w:color w:val="auto"/>
          <w:sz w:val="22"/>
          <w:szCs w:val="22"/>
        </w:rPr>
        <w:t xml:space="preserve">. Each survey covers the innovation activities of manufacturing business units with 10 or more employees over a three-year reference period. The resulting panel is highly unbalanced reflecting non-response in individual surveys but also the opening and closure of business units over the 21 year period covered. The panel contains 5,594 observations on 3,254 individual business units representing an overall response rate of 32.1 per cent. Variable definitions are included in Annex 1 and correlations in Annex 2. </w:t>
      </w:r>
    </w:p>
    <w:p w:rsidR="000A70B0" w:rsidRPr="00787A0C" w:rsidRDefault="000A70B0" w:rsidP="00787A0C">
      <w:pPr>
        <w:pStyle w:val="Default"/>
        <w:spacing w:after="300" w:line="360" w:lineRule="auto"/>
        <w:jc w:val="both"/>
        <w:rPr>
          <w:rFonts w:ascii="Arial" w:hAnsi="Arial" w:cs="Arial"/>
          <w:color w:val="auto"/>
          <w:sz w:val="22"/>
          <w:szCs w:val="22"/>
        </w:rPr>
      </w:pPr>
      <w:r w:rsidRPr="00300C8D">
        <w:rPr>
          <w:rFonts w:ascii="Arial" w:hAnsi="Arial" w:cs="Arial"/>
          <w:color w:val="auto"/>
          <w:sz w:val="22"/>
          <w:szCs w:val="22"/>
        </w:rPr>
        <w:t xml:space="preserve">For the current analysis we focus on two innovation variables. First, a ‘narrow’ definition of innovative sales calculated as the proportion of plants’ total sales (during the final year of each three-year reference period) derived from products newly introduced during the previous three years. Secondly, a ‘broad’ measure of innovative sales defined as the proportion of plants’ sales accounted for by newly introduced </w:t>
      </w:r>
      <w:r w:rsidRPr="00300C8D">
        <w:rPr>
          <w:rFonts w:ascii="Arial" w:hAnsi="Arial" w:cs="Arial"/>
          <w:i/>
          <w:color w:val="auto"/>
          <w:sz w:val="22"/>
          <w:szCs w:val="22"/>
        </w:rPr>
        <w:t>and</w:t>
      </w:r>
      <w:r w:rsidRPr="00300C8D">
        <w:rPr>
          <w:rFonts w:ascii="Arial" w:hAnsi="Arial" w:cs="Arial"/>
          <w:color w:val="auto"/>
          <w:sz w:val="22"/>
          <w:szCs w:val="22"/>
        </w:rPr>
        <w:t xml:space="preserve"> improved products. Both of these variables reflect not only plants’ ability to introduce new/improved products to the market but also their short-term commercial success. For the estimation sample used in this paper (see below) 12.3 per </w:t>
      </w:r>
      <w:r w:rsidRPr="00300C8D">
        <w:rPr>
          <w:rFonts w:ascii="Arial" w:hAnsi="Arial" w:cs="Arial"/>
          <w:color w:val="auto"/>
          <w:sz w:val="22"/>
          <w:szCs w:val="22"/>
        </w:rPr>
        <w:lastRenderedPageBreak/>
        <w:t>cent of plants’ sales were derived from newly introduced products, while 21.4 per cent were derived from new and improved products (Table 1)</w:t>
      </w:r>
      <w:r w:rsidRPr="00300C8D">
        <w:rPr>
          <w:rStyle w:val="FootnoteReference"/>
          <w:rFonts w:ascii="Arial" w:hAnsi="Arial" w:cs="Arial"/>
          <w:color w:val="auto"/>
          <w:sz w:val="22"/>
          <w:szCs w:val="22"/>
        </w:rPr>
        <w:footnoteReference w:id="6"/>
      </w:r>
      <w:r w:rsidRPr="00300C8D">
        <w:rPr>
          <w:rFonts w:ascii="Arial" w:hAnsi="Arial" w:cs="Arial"/>
          <w:color w:val="auto"/>
          <w:sz w:val="22"/>
          <w:szCs w:val="22"/>
        </w:rPr>
        <w:t xml:space="preserve">.  Standardly, we model the determinants of these two innovation sales measures using an innovation production function, which relates innovation outputs to the inputs to the innovation process </w:t>
      </w:r>
      <w:r w:rsidRPr="00300C8D">
        <w:rPr>
          <w:rFonts w:ascii="Arial" w:hAnsi="Arial" w:cs="Arial"/>
          <w:noProof/>
          <w:color w:val="auto"/>
          <w:sz w:val="22"/>
          <w:szCs w:val="22"/>
        </w:rPr>
        <w:t>(Griliches, 1995, Love and Roper, 2001, Laursen and Salter, 2006)</w:t>
      </w:r>
      <w:r w:rsidRPr="00300C8D">
        <w:rPr>
          <w:rFonts w:ascii="Arial" w:hAnsi="Arial" w:cs="Arial"/>
          <w:color w:val="auto"/>
          <w:sz w:val="22"/>
          <w:szCs w:val="22"/>
        </w:rPr>
        <w:t>.  For example, if I</w:t>
      </w:r>
      <w:r w:rsidRPr="00300C8D">
        <w:rPr>
          <w:rFonts w:ascii="Arial" w:hAnsi="Arial" w:cs="Arial"/>
          <w:color w:val="auto"/>
          <w:sz w:val="22"/>
          <w:szCs w:val="22"/>
          <w:vertAlign w:val="subscript"/>
        </w:rPr>
        <w:t>i</w:t>
      </w:r>
      <w:r w:rsidRPr="00300C8D">
        <w:rPr>
          <w:rFonts w:ascii="Arial" w:hAnsi="Arial" w:cs="Arial"/>
          <w:color w:val="auto"/>
          <w:sz w:val="22"/>
          <w:szCs w:val="22"/>
        </w:rPr>
        <w:t xml:space="preserve"> is an innovative sales indicator for firm i, the innovation production function can be written as:</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position w:val="-12"/>
          <w:sz w:val="22"/>
          <w:szCs w:val="22"/>
        </w:rPr>
        <w:object w:dxaOrig="68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75pt;height:17.2pt" o:ole="">
            <v:imagedata r:id="rId10" o:title=""/>
          </v:shape>
          <o:OLEObject Type="Embed" ProgID="Equation.3" ShapeID="_x0000_i1025" DrawAspect="Content" ObjectID="_1468217428" r:id="rId11"/>
        </w:object>
      </w:r>
      <w:r w:rsidRPr="00300C8D">
        <w:rPr>
          <w:rFonts w:ascii="Arial" w:hAnsi="Arial" w:cs="Arial"/>
          <w:sz w:val="22"/>
          <w:szCs w:val="22"/>
        </w:rPr>
        <w:tab/>
      </w:r>
      <w:r w:rsidRPr="00300C8D">
        <w:rPr>
          <w:rFonts w:ascii="Arial" w:hAnsi="Arial" w:cs="Arial"/>
          <w:sz w:val="22"/>
          <w:szCs w:val="22"/>
        </w:rPr>
        <w:tab/>
        <w:t>(1)</w:t>
      </w:r>
    </w:p>
    <w:p w:rsidR="000A70B0" w:rsidRPr="00300C8D" w:rsidRDefault="000A70B0" w:rsidP="00300C8D">
      <w:pPr>
        <w:pStyle w:val="EndnoteText"/>
        <w:spacing w:after="300" w:line="360" w:lineRule="auto"/>
        <w:jc w:val="both"/>
        <w:rPr>
          <w:rFonts w:ascii="Arial" w:hAnsi="Arial" w:cs="Arial"/>
        </w:rPr>
      </w:pPr>
      <w:r w:rsidRPr="00300C8D">
        <w:rPr>
          <w:rFonts w:ascii="Arial" w:hAnsi="Arial" w:cs="Arial"/>
        </w:rPr>
        <w:t>Where: RD</w:t>
      </w:r>
      <w:r w:rsidRPr="00300C8D">
        <w:rPr>
          <w:rFonts w:ascii="Arial" w:hAnsi="Arial" w:cs="Arial"/>
          <w:vertAlign w:val="subscript"/>
        </w:rPr>
        <w:t>i</w:t>
      </w:r>
      <w:r w:rsidRPr="00300C8D">
        <w:rPr>
          <w:rFonts w:ascii="Arial" w:hAnsi="Arial" w:cs="Arial"/>
        </w:rPr>
        <w:t xml:space="preserve"> are plants’ investments in R&amp;D, SK</w:t>
      </w:r>
      <w:r w:rsidRPr="00300C8D">
        <w:rPr>
          <w:rFonts w:ascii="Arial" w:hAnsi="Arial" w:cs="Arial"/>
          <w:vertAlign w:val="subscript"/>
        </w:rPr>
        <w:t>i</w:t>
      </w:r>
      <w:r w:rsidRPr="00300C8D">
        <w:rPr>
          <w:rFonts w:ascii="Arial" w:hAnsi="Arial" w:cs="Arial"/>
        </w:rPr>
        <w:t xml:space="preserve"> are skills inputs into innovation, XS</w:t>
      </w:r>
      <w:r w:rsidRPr="00300C8D">
        <w:rPr>
          <w:rFonts w:ascii="Arial" w:hAnsi="Arial" w:cs="Arial"/>
          <w:vertAlign w:val="subscript"/>
        </w:rPr>
        <w:t>i</w:t>
      </w:r>
      <w:r w:rsidRPr="00300C8D">
        <w:rPr>
          <w:rFonts w:ascii="Arial" w:hAnsi="Arial" w:cs="Arial"/>
        </w:rPr>
        <w:t xml:space="preserve"> represents external knowledge search or openness, EN</w:t>
      </w:r>
      <w:r w:rsidRPr="00300C8D">
        <w:rPr>
          <w:rFonts w:ascii="Arial" w:hAnsi="Arial" w:cs="Arial"/>
          <w:vertAlign w:val="subscript"/>
        </w:rPr>
        <w:t>i</w:t>
      </w:r>
      <w:r w:rsidRPr="00300C8D">
        <w:rPr>
          <w:rFonts w:ascii="Arial" w:hAnsi="Arial" w:cs="Arial"/>
        </w:rPr>
        <w:t xml:space="preserve"> is a set of indicators of plants’ business environment, and RI</w:t>
      </w:r>
      <w:r w:rsidRPr="00300C8D">
        <w:rPr>
          <w:rFonts w:ascii="Arial" w:hAnsi="Arial" w:cs="Arial"/>
          <w:vertAlign w:val="subscript"/>
        </w:rPr>
        <w:t>i</w:t>
      </w:r>
      <w:r w:rsidRPr="00300C8D">
        <w:rPr>
          <w:rFonts w:ascii="Arial" w:hAnsi="Arial" w:cs="Arial"/>
        </w:rPr>
        <w:t xml:space="preserve"> is a set of other plant level control variables. </w:t>
      </w:r>
    </w:p>
    <w:p w:rsidR="000B51E0" w:rsidRDefault="000A70B0" w:rsidP="00787A0C">
      <w:pPr>
        <w:pStyle w:val="EndnoteText"/>
        <w:spacing w:after="300" w:line="360" w:lineRule="auto"/>
        <w:jc w:val="both"/>
        <w:rPr>
          <w:rFonts w:ascii="Arial" w:hAnsi="Arial" w:cs="Arial"/>
        </w:rPr>
      </w:pPr>
      <w:r w:rsidRPr="00300C8D">
        <w:rPr>
          <w:rFonts w:ascii="Arial" w:hAnsi="Arial" w:cs="Arial"/>
        </w:rPr>
        <w:t>Also, in equation (1), let PS</w:t>
      </w:r>
      <w:r w:rsidRPr="00300C8D">
        <w:rPr>
          <w:rFonts w:ascii="Arial" w:hAnsi="Arial" w:cs="Arial"/>
          <w:vertAlign w:val="subscript"/>
        </w:rPr>
        <w:t>i</w:t>
      </w:r>
      <w:r w:rsidRPr="00300C8D">
        <w:rPr>
          <w:rFonts w:ascii="Arial" w:hAnsi="Arial" w:cs="Arial"/>
        </w:rPr>
        <w:t xml:space="preserve"> be a binary indicator of whether a plant received public subsidies for innovation. In both Ireland and Northern Ireland innovation subsidies have been an important element of industrial development policy over the last two decades. In Ireland, measures to support innovation in externally-owned firms have been operated primarily through the Irish Development Agency (or IDA), with support for locally-owned firms operated by Enterprise Ireland </w:t>
      </w:r>
      <w:r w:rsidRPr="00300C8D">
        <w:rPr>
          <w:rFonts w:ascii="Arial" w:hAnsi="Arial" w:cs="Arial"/>
          <w:noProof/>
        </w:rPr>
        <w:t>(Hewitt-Dundas and Roper, 2008)</w:t>
      </w:r>
      <w:r w:rsidRPr="00300C8D">
        <w:rPr>
          <w:rFonts w:ascii="Arial" w:hAnsi="Arial" w:cs="Arial"/>
        </w:rPr>
        <w:t xml:space="preserve">. Typically these measures have involved grant support which has subsidised a proportion of the cost of an innovation project. In Northern Ireland, public support for innovation has been operated primarily through Invest Northern Ireland and, before 2001, the Industrial Research and Technology Unit (IRTU) </w:t>
      </w:r>
      <w:r w:rsidRPr="00300C8D">
        <w:rPr>
          <w:rFonts w:ascii="Arial" w:hAnsi="Arial" w:cs="Arial"/>
          <w:noProof/>
        </w:rPr>
        <w:t>(Cooke et. al. 2003, Roper, 2009)</w:t>
      </w:r>
      <w:r w:rsidRPr="00300C8D">
        <w:rPr>
          <w:rFonts w:ascii="Arial" w:hAnsi="Arial" w:cs="Arial"/>
        </w:rPr>
        <w:t xml:space="preserve">. </w:t>
      </w:r>
    </w:p>
    <w:p w:rsidR="000B51E0" w:rsidRDefault="000B51E0">
      <w:pPr>
        <w:rPr>
          <w:rFonts w:ascii="Arial" w:eastAsiaTheme="minorEastAsia" w:hAnsi="Arial" w:cs="Arial"/>
          <w:sz w:val="22"/>
          <w:szCs w:val="22"/>
          <w:lang w:val="en-GB"/>
        </w:rPr>
      </w:pPr>
      <w:r>
        <w:rPr>
          <w:rFonts w:ascii="Arial" w:hAnsi="Arial" w:cs="Arial"/>
        </w:rPr>
        <w:br w:type="page"/>
      </w:r>
    </w:p>
    <w:p w:rsidR="000A70B0" w:rsidRPr="00300C8D" w:rsidRDefault="000A70B0" w:rsidP="00787A0C">
      <w:pPr>
        <w:pStyle w:val="EndnoteText"/>
        <w:spacing w:after="300" w:line="360" w:lineRule="auto"/>
        <w:jc w:val="both"/>
        <w:rPr>
          <w:rFonts w:ascii="Arial" w:hAnsi="Arial" w:cs="Arial"/>
        </w:rPr>
      </w:pPr>
      <w:r w:rsidRPr="00300C8D">
        <w:rPr>
          <w:rFonts w:ascii="Arial" w:hAnsi="Arial" w:cs="Arial"/>
        </w:rPr>
        <w:lastRenderedPageBreak/>
        <w:t>Again, innovation support measures have been predominantly grants, providing subsidies to particular innovation activities</w:t>
      </w:r>
      <w:r w:rsidRPr="00300C8D">
        <w:rPr>
          <w:rStyle w:val="FootnoteReference"/>
          <w:rFonts w:ascii="Arial" w:hAnsi="Arial" w:cs="Arial"/>
        </w:rPr>
        <w:footnoteReference w:id="7"/>
      </w:r>
      <w:r w:rsidRPr="00300C8D">
        <w:rPr>
          <w:rFonts w:ascii="Arial" w:hAnsi="Arial" w:cs="Arial"/>
        </w:rPr>
        <w:t>. In the IIP surveys, plants are asked to indicate whether they have received government subsidies for various activities over the last three years including training, marketing activity etc. Here, we are primarily concerned with two questions which ask plants to indicate first, whether they ‘have received government support for product development over the last three years’, and, second whether they have received ‘government support for R&amp;D not linked to any specific product development’. Overall, 21.4 per cent of plants reported receiving support for new product development (NPD), an average of 21.7 per cent in Northern Ireland and 21.3 per cent in Ireland (Table 1)</w:t>
      </w:r>
      <w:r w:rsidRPr="00300C8D">
        <w:rPr>
          <w:rStyle w:val="FootnoteReference"/>
          <w:rFonts w:ascii="Arial" w:hAnsi="Arial" w:cs="Arial"/>
        </w:rPr>
        <w:footnoteReference w:id="8"/>
      </w:r>
      <w:r w:rsidRPr="00300C8D">
        <w:rPr>
          <w:rFonts w:ascii="Arial" w:hAnsi="Arial" w:cs="Arial"/>
        </w:rPr>
        <w:t xml:space="preserve">. A smaller proportion of firms – 11.8 per cent – reported receiving support for R&amp;D. </w:t>
      </w:r>
    </w:p>
    <w:p w:rsidR="000B51E0" w:rsidRDefault="000A70B0" w:rsidP="00300C8D">
      <w:pPr>
        <w:spacing w:after="300" w:line="360" w:lineRule="auto"/>
        <w:jc w:val="both"/>
        <w:rPr>
          <w:rFonts w:ascii="Arial" w:hAnsi="Arial" w:cs="Arial"/>
          <w:sz w:val="22"/>
          <w:szCs w:val="22"/>
        </w:rPr>
      </w:pPr>
      <w:r w:rsidRPr="00300C8D">
        <w:rPr>
          <w:rFonts w:ascii="Arial" w:hAnsi="Arial" w:cs="Arial"/>
          <w:sz w:val="22"/>
          <w:szCs w:val="22"/>
        </w:rPr>
        <w:t>Here, we are interested in the legacy effects of public subsidies from earlier periods</w:t>
      </w:r>
      <w:r w:rsidRPr="00300C8D">
        <w:rPr>
          <w:rStyle w:val="FootnoteReference"/>
          <w:rFonts w:ascii="Arial" w:hAnsi="Arial" w:cs="Arial"/>
          <w:sz w:val="22"/>
          <w:szCs w:val="22"/>
        </w:rPr>
        <w:footnoteReference w:id="9"/>
      </w:r>
      <w:r w:rsidRPr="00300C8D">
        <w:rPr>
          <w:rFonts w:ascii="Arial" w:hAnsi="Arial" w:cs="Arial"/>
          <w:sz w:val="22"/>
          <w:szCs w:val="22"/>
        </w:rPr>
        <w:t xml:space="preserve">. For plants which received innovation subsidies in previous periods, these legacy effects may increase the innovation benefits derived from innovation inputs in the current period relative to those plants which had no prior subsidy. For example, congenital additionality – learning effects - may enhance the innovation capabilities of graduate employees, while legacy input additionality effects may enhance the contribution to innovation of current R&amp;D investments. </w:t>
      </w:r>
    </w:p>
    <w:p w:rsidR="000B51E0" w:rsidRDefault="000B51E0">
      <w:pPr>
        <w:rPr>
          <w:rFonts w:ascii="Arial" w:hAnsi="Arial" w:cs="Arial"/>
          <w:sz w:val="22"/>
          <w:szCs w:val="22"/>
        </w:rPr>
      </w:pPr>
      <w:r>
        <w:rPr>
          <w:rFonts w:ascii="Arial" w:hAnsi="Arial" w:cs="Arial"/>
          <w:sz w:val="22"/>
          <w:szCs w:val="22"/>
        </w:rPr>
        <w:br w:type="page"/>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lastRenderedPageBreak/>
        <w:t>To test the hypotheses, we define PS</w:t>
      </w:r>
      <w:r w:rsidRPr="00300C8D">
        <w:rPr>
          <w:rFonts w:ascii="Arial" w:hAnsi="Arial" w:cs="Arial"/>
          <w:sz w:val="22"/>
          <w:szCs w:val="22"/>
          <w:vertAlign w:val="subscript"/>
        </w:rPr>
        <w:t>it-1</w:t>
      </w:r>
      <w:r w:rsidRPr="00300C8D">
        <w:rPr>
          <w:rFonts w:ascii="Arial" w:hAnsi="Arial" w:cs="Arial"/>
          <w:sz w:val="22"/>
          <w:szCs w:val="22"/>
        </w:rPr>
        <w:t xml:space="preserve"> as an </w:t>
      </w:r>
      <w:r w:rsidR="000B51E0">
        <w:rPr>
          <w:rFonts w:ascii="Arial" w:hAnsi="Arial" w:cs="Arial"/>
          <w:sz w:val="22"/>
          <w:szCs w:val="22"/>
        </w:rPr>
        <w:t xml:space="preserve">indicator variable which </w:t>
      </w:r>
      <w:r w:rsidRPr="00300C8D">
        <w:rPr>
          <w:rFonts w:ascii="Arial" w:hAnsi="Arial" w:cs="Arial"/>
          <w:sz w:val="22"/>
          <w:szCs w:val="22"/>
        </w:rPr>
        <w:t>takes value 1 if the firm received public support for innovation in the previous wave of the IIP and 0 otherwise</w:t>
      </w:r>
      <w:r w:rsidRPr="00300C8D">
        <w:rPr>
          <w:rStyle w:val="FootnoteReference"/>
          <w:rFonts w:ascii="Arial" w:hAnsi="Arial" w:cs="Arial"/>
          <w:sz w:val="22"/>
          <w:szCs w:val="22"/>
        </w:rPr>
        <w:footnoteReference w:id="10"/>
      </w:r>
      <w:r w:rsidRPr="00300C8D">
        <w:rPr>
          <w:rFonts w:ascii="Arial" w:hAnsi="Arial" w:cs="Arial"/>
          <w:sz w:val="22"/>
          <w:szCs w:val="22"/>
        </w:rPr>
        <w:t>. Then, to evaluate Hypothesis 2, the potential for legacy output additionality effects, we use PS</w:t>
      </w:r>
      <w:r w:rsidRPr="00300C8D">
        <w:rPr>
          <w:rFonts w:ascii="Arial" w:hAnsi="Arial" w:cs="Arial"/>
          <w:sz w:val="22"/>
          <w:szCs w:val="22"/>
          <w:vertAlign w:val="subscript"/>
        </w:rPr>
        <w:t>it-1</w:t>
      </w:r>
      <w:r w:rsidRPr="00300C8D">
        <w:rPr>
          <w:rFonts w:ascii="Arial" w:hAnsi="Arial" w:cs="Arial"/>
          <w:sz w:val="22"/>
          <w:szCs w:val="22"/>
        </w:rPr>
        <w:t xml:space="preserve"> to partition the regressor I</w:t>
      </w:r>
      <w:r w:rsidRPr="00300C8D">
        <w:rPr>
          <w:rFonts w:ascii="Arial" w:hAnsi="Arial" w:cs="Arial"/>
          <w:sz w:val="22"/>
          <w:szCs w:val="22"/>
          <w:vertAlign w:val="subscript"/>
        </w:rPr>
        <w:t>it-1</w:t>
      </w:r>
      <w:r w:rsidRPr="00300C8D">
        <w:rPr>
          <w:rFonts w:ascii="Arial" w:hAnsi="Arial" w:cs="Arial"/>
          <w:sz w:val="22"/>
          <w:szCs w:val="22"/>
        </w:rPr>
        <w:t xml:space="preserve"> between those firms which did and did not receive innovation subsidies in the previous period and then compare the two estimated coefficients. This amounts to estimating:</w:t>
      </w:r>
    </w:p>
    <w:p w:rsidR="000A70B0" w:rsidRPr="00300C8D" w:rsidRDefault="000A70B0" w:rsidP="00300C8D">
      <w:pPr>
        <w:spacing w:after="300" w:line="360" w:lineRule="auto"/>
        <w:jc w:val="both"/>
        <w:rPr>
          <w:rFonts w:ascii="Arial" w:hAnsi="Arial" w:cs="Arial"/>
          <w:position w:val="-32"/>
          <w:sz w:val="22"/>
          <w:szCs w:val="22"/>
        </w:rPr>
      </w:pPr>
      <w:r w:rsidRPr="00300C8D">
        <w:rPr>
          <w:rFonts w:ascii="Arial" w:hAnsi="Arial" w:cs="Arial"/>
          <w:position w:val="-32"/>
          <w:sz w:val="22"/>
          <w:szCs w:val="22"/>
        </w:rPr>
        <w:object w:dxaOrig="6039" w:dyaOrig="760">
          <v:shape id="_x0000_i1026" type="#_x0000_t75" style="width:387.95pt;height:38.7pt" o:ole="">
            <v:imagedata r:id="rId12" o:title=""/>
          </v:shape>
          <o:OLEObject Type="Embed" ProgID="Equation.3" ShapeID="_x0000_i1026" DrawAspect="Content" ObjectID="_1468217429" r:id="rId13"/>
        </w:object>
      </w:r>
      <w:r w:rsidRPr="00300C8D">
        <w:rPr>
          <w:rFonts w:ascii="Arial" w:hAnsi="Arial" w:cs="Arial"/>
          <w:position w:val="-50"/>
          <w:sz w:val="22"/>
          <w:szCs w:val="22"/>
        </w:rPr>
        <w:t>(2)</w:t>
      </w:r>
    </w:p>
    <w:p w:rsidR="000A70B0" w:rsidRPr="00787A0C" w:rsidRDefault="000A70B0" w:rsidP="00300C8D">
      <w:pPr>
        <w:spacing w:after="300" w:line="360" w:lineRule="auto"/>
        <w:jc w:val="both"/>
        <w:rPr>
          <w:rFonts w:ascii="Arial" w:eastAsiaTheme="minorEastAsia" w:hAnsi="Arial" w:cs="Arial"/>
          <w:sz w:val="22"/>
          <w:szCs w:val="22"/>
        </w:rPr>
      </w:pPr>
      <w:r w:rsidRPr="00300C8D">
        <w:rPr>
          <w:rFonts w:ascii="Arial" w:hAnsi="Arial" w:cs="Arial"/>
          <w:sz w:val="22"/>
          <w:szCs w:val="22"/>
        </w:rPr>
        <w:t>and then testing whether</w:t>
      </w:r>
      <w:r w:rsidRPr="00300C8D">
        <w:rPr>
          <w:rFonts w:ascii="Arial" w:eastAsiaTheme="minorEastAsia" w:hAnsi="Arial" w:cs="Arial"/>
          <w:sz w:val="22"/>
          <w:szCs w:val="22"/>
        </w:rPr>
        <w:t xml:space="preserve"> </w:t>
      </w:r>
      <m:oMath>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1</m:t>
            </m:r>
          </m:sub>
          <m:sup>
            <m:r>
              <w:rPr>
                <w:rFonts w:ascii="Cambria Math" w:hAnsi="Cambria Math" w:cs="Arial"/>
                <w:sz w:val="22"/>
                <w:szCs w:val="22"/>
              </w:rPr>
              <m:t>A</m:t>
            </m:r>
          </m:sup>
        </m:sSubSup>
        <m:r>
          <w:rPr>
            <w:rFonts w:ascii="Cambria Math" w:hAnsi="Cambria Math" w:cs="Arial"/>
            <w:sz w:val="22"/>
            <w:szCs w:val="22"/>
          </w:rPr>
          <m:t>&gt;</m:t>
        </m:r>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1</m:t>
            </m:r>
          </m:sub>
          <m:sup>
            <m:r>
              <w:rPr>
                <w:rFonts w:ascii="Cambria Math" w:hAnsi="Cambria Math" w:cs="Arial"/>
                <w:sz w:val="22"/>
                <w:szCs w:val="22"/>
              </w:rPr>
              <m:t>B</m:t>
            </m:r>
          </m:sup>
        </m:sSubSup>
      </m:oMath>
      <w:r w:rsidRPr="00300C8D">
        <w:rPr>
          <w:rFonts w:ascii="Arial" w:eastAsiaTheme="minorEastAsia" w:hAnsi="Arial" w:cs="Arial"/>
          <w:sz w:val="22"/>
          <w:szCs w:val="22"/>
        </w:rPr>
        <w:t>. If this inequality holds it suggests legacy output additionality effects. Essentially similar tests then apply to the other hypotheses.</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Operationalizing equation (2) for the other hypotheses draws on a range of other data from the IIP. To reflect the potential for legacy input additionality effects we consider its effects on the innovation benefits of plants’ in-house R&amp;D, a factor which has been linked positively to innovation success by previous studies </w:t>
      </w:r>
      <w:r w:rsidRPr="00300C8D">
        <w:rPr>
          <w:rFonts w:ascii="Arial" w:hAnsi="Arial" w:cs="Arial"/>
          <w:noProof/>
          <w:sz w:val="22"/>
          <w:szCs w:val="22"/>
        </w:rPr>
        <w:t>(Love and Roper, 2001, Love and Roper, 2005, Griffith et al., 2003)</w:t>
      </w:r>
      <w:r w:rsidRPr="00300C8D">
        <w:rPr>
          <w:rFonts w:ascii="Arial" w:hAnsi="Arial" w:cs="Arial"/>
          <w:sz w:val="22"/>
          <w:szCs w:val="22"/>
        </w:rPr>
        <w:t xml:space="preserve">. In the IIP an average of 46.1 per cent of plants were undertaking in-house R&amp;D, a proportion which varied relatively little over the survey period </w:t>
      </w:r>
      <w:r w:rsidRPr="00300C8D">
        <w:rPr>
          <w:rFonts w:ascii="Arial" w:hAnsi="Arial" w:cs="Arial"/>
          <w:noProof/>
          <w:sz w:val="22"/>
          <w:szCs w:val="22"/>
        </w:rPr>
        <w:t>(Hewitt-Dundas and Roper, 2008)</w:t>
      </w:r>
      <w:r w:rsidRPr="00300C8D">
        <w:rPr>
          <w:rFonts w:ascii="Arial" w:hAnsi="Arial" w:cs="Arial"/>
          <w:sz w:val="22"/>
          <w:szCs w:val="22"/>
        </w:rPr>
        <w:t xml:space="preserve">. The potential for legacy congenital additionality effects is measured by their effects on the innovation benefits of two human capital variables: the proportion of plants’ workforces with a degree and whether plants reported that a lack of technical skills was a barrier to innovation. Both variables have previously been linked to innovation success in studies using an innovation production function approach </w:t>
      </w:r>
      <w:r w:rsidRPr="00300C8D">
        <w:rPr>
          <w:rFonts w:ascii="Arial" w:hAnsi="Arial" w:cs="Arial"/>
          <w:noProof/>
          <w:sz w:val="22"/>
          <w:szCs w:val="22"/>
        </w:rPr>
        <w:t>(Leiponen, 2005, Freel, 2005, Hewitt-Dundas, 2006)</w:t>
      </w:r>
      <w:r w:rsidRPr="00300C8D">
        <w:rPr>
          <w:rFonts w:ascii="Arial" w:hAnsi="Arial" w:cs="Arial"/>
          <w:sz w:val="22"/>
          <w:szCs w:val="22"/>
        </w:rPr>
        <w:t xml:space="preserve">. On average across the IIP, 9.7 per cent of plants’ workforces had a degree </w:t>
      </w:r>
      <w:r w:rsidRPr="00300C8D">
        <w:rPr>
          <w:rFonts w:ascii="Arial" w:hAnsi="Arial" w:cs="Arial"/>
          <w:sz w:val="22"/>
          <w:szCs w:val="22"/>
        </w:rPr>
        <w:lastRenderedPageBreak/>
        <w:t>level qualification, while 37.2 per cent of plants reported that technical skills were a ‘significant’ or ‘very significant’ barrier to innovation (Table 1)</w:t>
      </w:r>
      <w:r w:rsidRPr="00300C8D">
        <w:rPr>
          <w:rStyle w:val="FootnoteReference"/>
          <w:rFonts w:ascii="Arial" w:hAnsi="Arial" w:cs="Arial"/>
          <w:sz w:val="22"/>
          <w:szCs w:val="22"/>
        </w:rPr>
        <w:footnoteReference w:id="11"/>
      </w:r>
      <w:r w:rsidRPr="00300C8D">
        <w:rPr>
          <w:rFonts w:ascii="Arial" w:hAnsi="Arial" w:cs="Arial"/>
          <w:sz w:val="22"/>
          <w:szCs w:val="22"/>
        </w:rPr>
        <w:t>.</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Legacy inter-organisational additionality effects reflect the extent to which plants’ innovation networks may be enhanced or developed as a result of prior innovation subsidies </w:t>
      </w:r>
      <w:r w:rsidRPr="00300C8D">
        <w:rPr>
          <w:rFonts w:ascii="Arial" w:hAnsi="Arial" w:cs="Arial"/>
          <w:noProof/>
          <w:sz w:val="22"/>
          <w:szCs w:val="22"/>
        </w:rPr>
        <w:t>(OECD, 2006)</w:t>
      </w:r>
      <w:r w:rsidRPr="00300C8D">
        <w:rPr>
          <w:rFonts w:ascii="Arial" w:hAnsi="Arial" w:cs="Arial"/>
          <w:sz w:val="22"/>
          <w:szCs w:val="22"/>
        </w:rPr>
        <w:t xml:space="preserve">. Here, legacy effects require that the innovation benefit of a given level of network activity – reflected in the estimated coefficients in the innovation production function - is greater where a plant received previous public subsidies for innovation. We include two measures: whether a lack of technical information was a significant barrier to plants innovation activity, and the ‘breadth’ of plants’ innovation network activities or ‘openness’ measured as per Laursen and Salter </w:t>
      </w:r>
      <w:r w:rsidRPr="00300C8D">
        <w:rPr>
          <w:rFonts w:ascii="Arial" w:hAnsi="Arial" w:cs="Arial"/>
          <w:noProof/>
          <w:sz w:val="22"/>
          <w:szCs w:val="22"/>
        </w:rPr>
        <w:t>(2006)</w:t>
      </w:r>
      <w:r w:rsidRPr="00300C8D">
        <w:rPr>
          <w:rFonts w:ascii="Arial" w:hAnsi="Arial" w:cs="Arial"/>
          <w:sz w:val="22"/>
          <w:szCs w:val="22"/>
        </w:rPr>
        <w:t xml:space="preserve">. This is an index which takes values between one and eight depending on the number of different types of innovation partners with which a plant is engaging. In the models we also include a square of this variable to reflect the standard finding of an inverted-U shaped relationship between innovation outputs and network breadth </w:t>
      </w:r>
      <w:r w:rsidRPr="00300C8D">
        <w:rPr>
          <w:rFonts w:ascii="Arial" w:hAnsi="Arial" w:cs="Arial"/>
          <w:noProof/>
          <w:sz w:val="22"/>
          <w:szCs w:val="22"/>
        </w:rPr>
        <w:t>(Leiponen and Helfat, 2011)</w:t>
      </w:r>
      <w:r w:rsidRPr="00300C8D">
        <w:rPr>
          <w:rStyle w:val="FootnoteReference"/>
          <w:rFonts w:ascii="Arial" w:hAnsi="Arial" w:cs="Arial"/>
          <w:sz w:val="22"/>
          <w:szCs w:val="22"/>
        </w:rPr>
        <w:footnoteReference w:id="12"/>
      </w:r>
      <w:r w:rsidRPr="00300C8D">
        <w:rPr>
          <w:rFonts w:ascii="Arial" w:hAnsi="Arial" w:cs="Arial"/>
          <w:sz w:val="22"/>
          <w:szCs w:val="22"/>
        </w:rPr>
        <w:t xml:space="preserve">. Finally, to capture the potential for legacy experiential additionality effects we consider two measures which reflect environmental barriers to business innovation: regulatory or legislative factors and a lack of finance for innovation. In both cases we would anticipate that the provision of public subsidies in one period might lead to organisational learning effects which moderate the effect of these innovation barriers in subsequent periods. </w:t>
      </w:r>
    </w:p>
    <w:p w:rsidR="000A70B0"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In the estimated models we also include two other control variables which give an indication of the scale of plants’ resources – size – as well as the potential for the cumulative accumulation of knowledge capital by older plants </w:t>
      </w:r>
      <w:r w:rsidRPr="00300C8D">
        <w:rPr>
          <w:rFonts w:ascii="Arial" w:hAnsi="Arial" w:cs="Arial"/>
          <w:noProof/>
          <w:sz w:val="22"/>
          <w:szCs w:val="22"/>
        </w:rPr>
        <w:t>(Klette and Johansen, 1998)</w:t>
      </w:r>
      <w:r w:rsidRPr="00300C8D">
        <w:rPr>
          <w:rFonts w:ascii="Arial" w:hAnsi="Arial" w:cs="Arial"/>
          <w:sz w:val="22"/>
          <w:szCs w:val="22"/>
        </w:rPr>
        <w:t xml:space="preserve"> and plant life-cycle effects </w:t>
      </w:r>
      <w:r w:rsidRPr="00300C8D">
        <w:rPr>
          <w:rFonts w:ascii="Arial" w:hAnsi="Arial" w:cs="Arial"/>
          <w:noProof/>
          <w:sz w:val="22"/>
          <w:szCs w:val="22"/>
        </w:rPr>
        <w:t xml:space="preserve">(Atkeson </w:t>
      </w:r>
      <w:r w:rsidRPr="00300C8D">
        <w:rPr>
          <w:rFonts w:ascii="Arial" w:hAnsi="Arial" w:cs="Arial"/>
          <w:noProof/>
          <w:sz w:val="22"/>
          <w:szCs w:val="22"/>
        </w:rPr>
        <w:lastRenderedPageBreak/>
        <w:t>and Kehoe, 2005)</w:t>
      </w:r>
      <w:r w:rsidRPr="00300C8D">
        <w:rPr>
          <w:rFonts w:ascii="Arial" w:hAnsi="Arial" w:cs="Arial"/>
          <w:sz w:val="22"/>
          <w:szCs w:val="22"/>
        </w:rPr>
        <w:t>. Sector dummies at the 2-digit level and wave dummies are also included in each model (but not reported). Our estimation approach is determined primarily by the nature of our innovation output variables – the percentage of innovative sales. Panel data tobit models are therefore used to estimate models of equations (1) and (2)</w:t>
      </w:r>
      <w:r w:rsidRPr="00300C8D">
        <w:rPr>
          <w:rStyle w:val="FootnoteReference"/>
          <w:rFonts w:ascii="Arial" w:hAnsi="Arial" w:cs="Arial"/>
          <w:sz w:val="22"/>
          <w:szCs w:val="22"/>
        </w:rPr>
        <w:footnoteReference w:id="13"/>
      </w:r>
      <w:r w:rsidRPr="00300C8D">
        <w:rPr>
          <w:rFonts w:ascii="Arial" w:hAnsi="Arial" w:cs="Arial"/>
          <w:sz w:val="22"/>
          <w:szCs w:val="22"/>
        </w:rPr>
        <w:t xml:space="preserve">. </w:t>
      </w:r>
    </w:p>
    <w:p w:rsidR="000A70B0" w:rsidRPr="001C34EE" w:rsidRDefault="001C34EE" w:rsidP="001C34EE">
      <w:pPr>
        <w:pStyle w:val="Heading1"/>
        <w:rPr>
          <w:rFonts w:hint="eastAsia"/>
          <w:sz w:val="28"/>
          <w:szCs w:val="28"/>
        </w:rPr>
      </w:pPr>
      <w:bookmarkStart w:id="11" w:name="_Toc391474613"/>
      <w:r w:rsidRPr="001C34EE">
        <w:rPr>
          <w:sz w:val="28"/>
          <w:szCs w:val="28"/>
        </w:rPr>
        <w:t>4. EMPIRICAL RESULTS</w:t>
      </w:r>
      <w:bookmarkEnd w:id="11"/>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Baseline models of the innovation production function (Equation 1) are reported in Table 2 for the narrow and broad measures of innovative sales. Results are largely consistent between the two innovation measures, and RHS variables largely take the expected sign. Innovation outputs are positively related to R&amp;D suggesting significant input effects </w:t>
      </w:r>
      <w:r w:rsidRPr="00300C8D">
        <w:rPr>
          <w:rFonts w:ascii="Arial" w:hAnsi="Arial" w:cs="Arial"/>
          <w:noProof/>
          <w:sz w:val="22"/>
          <w:szCs w:val="22"/>
        </w:rPr>
        <w:t>(Love and Roper, 2001, Love and Roper, 2005, Griffith et al., 2003)</w:t>
      </w:r>
      <w:r w:rsidRPr="00300C8D">
        <w:rPr>
          <w:rFonts w:ascii="Arial" w:hAnsi="Arial" w:cs="Arial"/>
          <w:sz w:val="22"/>
          <w:szCs w:val="22"/>
        </w:rPr>
        <w:t xml:space="preserve">. Last period’s level of innovation sales is also significant in both models suggesting a significant degree of autocorrelation in innovative sales. Levels of graduate employment are also positive but insignificantly related to both innovation indicators, while a lack of technical skills has a weak negative effect on innovative sales (Table 2). Both suggest a positive – if weak – link between firms’ human capital resources and innovation </w:t>
      </w:r>
      <w:r w:rsidRPr="00300C8D">
        <w:rPr>
          <w:rFonts w:ascii="Arial" w:hAnsi="Arial" w:cs="Arial"/>
          <w:noProof/>
          <w:sz w:val="22"/>
          <w:szCs w:val="22"/>
        </w:rPr>
        <w:t>(Leiponen, 2005, Freel, 2005, Hewitt-Dundas, 2006)</w:t>
      </w:r>
      <w:r w:rsidRPr="00300C8D">
        <w:rPr>
          <w:rFonts w:ascii="Arial" w:hAnsi="Arial" w:cs="Arial"/>
          <w:sz w:val="22"/>
          <w:szCs w:val="22"/>
        </w:rPr>
        <w:t xml:space="preserve">. Openness indicators have the expected inverted-U shape relationship to both the narrow and broad measure of innovative sales (Laursen and Salter, </w:t>
      </w:r>
      <w:r w:rsidRPr="00300C8D">
        <w:rPr>
          <w:rFonts w:ascii="Arial" w:hAnsi="Arial" w:cs="Arial"/>
          <w:noProof/>
          <w:sz w:val="22"/>
          <w:szCs w:val="22"/>
        </w:rPr>
        <w:t>2006, Leiponen and Helfat, 2011)</w:t>
      </w:r>
      <w:r w:rsidRPr="00300C8D">
        <w:rPr>
          <w:rFonts w:ascii="Arial" w:hAnsi="Arial" w:cs="Arial"/>
          <w:sz w:val="22"/>
          <w:szCs w:val="22"/>
        </w:rPr>
        <w:t xml:space="preserve">. Business environment effects are weaker, with neither legislative restrictions nor a lack of finance for innovation having significant effects. The two control variables have the expected signs: larger firms are generally more innovative, while older plants have lower levels of innovative sales (Table 2).  </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Models designed to test each of the hypotheses are reported in Table 3 for the narrow measure of innovative sales, and Table 4 for the broad measure. Models reported relate to the legacy effects of public subsidies </w:t>
      </w:r>
      <w:r w:rsidRPr="00300C8D">
        <w:rPr>
          <w:rFonts w:ascii="Arial" w:hAnsi="Arial" w:cs="Arial"/>
          <w:sz w:val="22"/>
          <w:szCs w:val="22"/>
        </w:rPr>
        <w:lastRenderedPageBreak/>
        <w:t xml:space="preserve">for new product development (NPD) activity. Our first hypothesis relates to the potential for legacy input additionality effects and, in particular, whether the innovation benefits of plants’ R&amp;D investments are enhanced by prior subsidies for NPD. Partitioning R&amp;D investment as suggested in equation (2) suggests that R&amp;D inputs play an important role in innovation regardless of whether a plant had previously received public subsidies for NPD or not (Model 1, Tables 3 and 4). The coefficients also suggest that the innovation benefits of R&amp;D are marginally greater for both the narrow and broad innovation sales measures where a plant had previously received NPD subsidies (Model 1, Tables 3 and 4). Wald tests of the restriction  </w:t>
      </w:r>
      <m:oMath>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1</m:t>
            </m:r>
          </m:sub>
          <m:sup>
            <m:r>
              <w:rPr>
                <w:rFonts w:ascii="Cambria Math" w:hAnsi="Cambria Math" w:cs="Arial"/>
                <w:sz w:val="22"/>
                <w:szCs w:val="22"/>
              </w:rPr>
              <m:t>A</m:t>
            </m:r>
          </m:sup>
        </m:sSubSup>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β</m:t>
            </m:r>
          </m:e>
          <m:sub>
            <m:r>
              <w:rPr>
                <w:rFonts w:ascii="Cambria Math" w:hAnsi="Cambria Math" w:cs="Arial"/>
                <w:sz w:val="22"/>
                <w:szCs w:val="22"/>
              </w:rPr>
              <m:t>1</m:t>
            </m:r>
          </m:sub>
          <m:sup>
            <m:r>
              <w:rPr>
                <w:rFonts w:ascii="Cambria Math" w:hAnsi="Cambria Math" w:cs="Arial"/>
                <w:sz w:val="22"/>
                <w:szCs w:val="22"/>
              </w:rPr>
              <m:t>B</m:t>
            </m:r>
          </m:sup>
        </m:sSubSup>
      </m:oMath>
      <w:r w:rsidRPr="00300C8D">
        <w:rPr>
          <w:rFonts w:ascii="Arial" w:hAnsi="Arial" w:cs="Arial"/>
          <w:sz w:val="22"/>
          <w:szCs w:val="22"/>
        </w:rPr>
        <w:t xml:space="preserve">, however, suggest these differences are insignificant (Table 5). Our results therefore provide no evidence of legacy input additionality effects from NPD subsidies for either innovation measure and therefore no support for Hypothesis 1. </w:t>
      </w:r>
    </w:p>
    <w:p w:rsidR="000A70B0" w:rsidRPr="00300C8D" w:rsidRDefault="000A70B0" w:rsidP="00300C8D">
      <w:pPr>
        <w:spacing w:after="300" w:line="360" w:lineRule="auto"/>
        <w:jc w:val="both"/>
        <w:rPr>
          <w:rFonts w:ascii="Arial" w:hAnsi="Arial" w:cs="Arial"/>
          <w:sz w:val="22"/>
          <w:szCs w:val="22"/>
        </w:rPr>
      </w:pPr>
      <w:r w:rsidRPr="00300C8D">
        <w:rPr>
          <w:rFonts w:ascii="Arial" w:eastAsiaTheme="minorEastAsia" w:hAnsi="Arial" w:cs="Arial"/>
          <w:sz w:val="22"/>
          <w:szCs w:val="22"/>
        </w:rPr>
        <w:t xml:space="preserve">Hypothesis 2 relates to potential legacy output additionality effects.  </w:t>
      </w:r>
      <w:r w:rsidRPr="00300C8D">
        <w:rPr>
          <w:rFonts w:ascii="Arial" w:hAnsi="Arial" w:cs="Arial"/>
          <w:sz w:val="22"/>
          <w:szCs w:val="22"/>
        </w:rPr>
        <w:t xml:space="preserve">For both the narrow and broad measures we find that lagged innovative sales effects prove important regardless of whether a plant had previously received NPD subsidies (Model 2, Tables 3 and 4). The Wald tests suggest significant differences between the estimated coefficients on the partitioned lagged innovative sales measure but only for the narrow measure of innovative sales (Table 5). One possible explanation is that public subsidies are enhancing the quality or novelty of firms’ innovative output in the previous period, which then provides an enhanced basis for subsequent innovation. Such innovation quality effects from public support for NPD have been recognised in a number of other studies </w:t>
      </w:r>
      <w:r w:rsidRPr="00300C8D">
        <w:rPr>
          <w:rFonts w:ascii="Arial" w:hAnsi="Arial" w:cs="Arial"/>
          <w:noProof/>
          <w:sz w:val="22"/>
          <w:szCs w:val="22"/>
        </w:rPr>
        <w:t>(Bérubé and Mohnen, 2009, Hewitt-Dundas and Roper, 2009)</w:t>
      </w:r>
      <w:r w:rsidRPr="00300C8D">
        <w:rPr>
          <w:rFonts w:ascii="Arial" w:hAnsi="Arial" w:cs="Arial"/>
          <w:sz w:val="22"/>
          <w:szCs w:val="22"/>
        </w:rPr>
        <w:t xml:space="preserve">. However, our evidence here suggests that the effects of these innovation quality improvements persist, giving previously subsidised plants longer-term strategic advantages perhaps by helping them to achieve positions of technology or market leadership or first-mover advantage. Alternatively, public support for NPD may be allowing firms to invest in platform technologies which may allow the development of variants in future periods </w:t>
      </w:r>
      <w:r w:rsidRPr="00300C8D">
        <w:rPr>
          <w:rFonts w:ascii="Arial" w:hAnsi="Arial" w:cs="Arial"/>
          <w:noProof/>
          <w:sz w:val="22"/>
          <w:szCs w:val="22"/>
        </w:rPr>
        <w:t>(Pasche and Magnusson, 2011)</w:t>
      </w:r>
      <w:r w:rsidRPr="00300C8D">
        <w:rPr>
          <w:rFonts w:ascii="Arial" w:hAnsi="Arial" w:cs="Arial"/>
          <w:sz w:val="22"/>
          <w:szCs w:val="22"/>
        </w:rPr>
        <w:t xml:space="preserve">. Or, by enhancing the market reputation of an enterprise with consumers, firms’ innovation may be more successful in the </w:t>
      </w:r>
      <w:r w:rsidRPr="00300C8D">
        <w:rPr>
          <w:rFonts w:ascii="Arial" w:hAnsi="Arial" w:cs="Arial"/>
          <w:sz w:val="22"/>
          <w:szCs w:val="22"/>
        </w:rPr>
        <w:lastRenderedPageBreak/>
        <w:t xml:space="preserve">market place </w:t>
      </w:r>
      <w:r w:rsidRPr="00300C8D">
        <w:rPr>
          <w:rFonts w:ascii="Arial" w:hAnsi="Arial" w:cs="Arial"/>
          <w:noProof/>
          <w:sz w:val="22"/>
          <w:szCs w:val="22"/>
        </w:rPr>
        <w:t>(Henard and Dacin, 2010)</w:t>
      </w:r>
      <w:r w:rsidRPr="00300C8D">
        <w:rPr>
          <w:rFonts w:ascii="Arial" w:hAnsi="Arial" w:cs="Arial"/>
          <w:sz w:val="22"/>
          <w:szCs w:val="22"/>
        </w:rPr>
        <w:t xml:space="preserve">. Whatever the explanation, our results provide some support for Hypothesis 2 and legacy output additionality effects from NPD subsidies. </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Hypothesis 3 relates to congenital additionality and the potential legacy effects of public NPD subsidies on the innovation benefits of plants’ human capital. As in the baseline models (Table 1) we find little evidence that levels of graduate employment have any significant effect on innovation outputs regardless of whether plants had, or had not, previously received NPD subsidies (Model 3, Tables 3 and 4). There is clear evidence, however, that prior public support for NPD is significant in offsetting the effect of a lack of technical skills on both measures of innovative sales (Model 3, Tables 3 and 4).  Two possibilities are evident here. First, it may be that the experience of working on publicly supported innovation projects has given plants’ senior management a better understanding of the quality of their skill base for innovation. This may be reducing management perceptions of any lack of technical skills. A more likely scenario, however, is that plants’ prior experience of publicly funded innovation projects has resulted in the type of learning-by-doing effects noted by Sakakibara </w:t>
      </w:r>
      <w:r w:rsidRPr="00300C8D">
        <w:rPr>
          <w:rFonts w:ascii="Arial" w:hAnsi="Arial" w:cs="Arial"/>
          <w:noProof/>
          <w:sz w:val="22"/>
          <w:szCs w:val="22"/>
        </w:rPr>
        <w:t>(1997)</w:t>
      </w:r>
      <w:r w:rsidRPr="00300C8D">
        <w:rPr>
          <w:rFonts w:ascii="Arial" w:hAnsi="Arial" w:cs="Arial"/>
          <w:sz w:val="22"/>
          <w:szCs w:val="22"/>
        </w:rPr>
        <w:t xml:space="preserve">. In statistical terms, a joint test of the equality of the coefficients on the two human capital measures is rejected for both the narrow and broad measures of innovative sales (Table 5). This provides strong support for Hypothesis 3 and legacy congenital additionality effects from NPD subsidies. </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The potential for legacy inter-organisational additionality effects is captured in our innovation production functions by two variables: the breadth of plants’ co-operative relationships for innovation and a perceived lack of technical information. In our baseline models (Table 2) plants’ co-operative relationships play a significant role, with evidence of an inverted-U shape relationship with innovation </w:t>
      </w:r>
      <w:r w:rsidRPr="00300C8D">
        <w:rPr>
          <w:rFonts w:ascii="Arial" w:hAnsi="Arial" w:cs="Arial"/>
          <w:noProof/>
          <w:sz w:val="22"/>
          <w:szCs w:val="22"/>
        </w:rPr>
        <w:t>(Laursen and Salter, 2006, Leiponen and Helfat, 2010)</w:t>
      </w:r>
      <w:r w:rsidRPr="00300C8D">
        <w:rPr>
          <w:rFonts w:ascii="Arial" w:hAnsi="Arial" w:cs="Arial"/>
          <w:sz w:val="22"/>
          <w:szCs w:val="22"/>
        </w:rPr>
        <w:t xml:space="preserve">. We also find a negative, albeit insignificant, innovation effect associated with a perceived lack of technical information (Table 2). The innovation effects of both variables differ markedly, however, depending on whether or not plants had previously received subsidies for NPD (Model 4, </w:t>
      </w:r>
      <w:r w:rsidRPr="00300C8D">
        <w:rPr>
          <w:rFonts w:ascii="Arial" w:hAnsi="Arial" w:cs="Arial"/>
          <w:sz w:val="22"/>
          <w:szCs w:val="22"/>
        </w:rPr>
        <w:lastRenderedPageBreak/>
        <w:t xml:space="preserve">Tables 3 and 4): co-operative relationships for innovation only prove beneficial for innovation when a plant received prior innovation subsidies; and, prior subsidies also offset the negative effect of a lack of technical information. The implication is that inter-organisational relationships have stronger innovation benefits where firms have received NPD subsidies, a suggestion confirmed by the relevant Wald test (Table 5). One possible explanation is that publicly subsidised NPD projects encourage firms to develop new innovation partnerships (OECD, 2006), and that as these relationships mature they provide increasing innovation benefits (Baum et. al. 2012). Alternatively, public subsidies for NPD may have a signalling effect, making it easier for plants to develop future innovation partnerships and/or access external information sources (Kleer, 2010). Either mechanism could generate the legacy inter-organisational additionality effects we observe.  </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Our final Hypothesis (5) relates to experiential additionality, the idea that organisational learning during a publicly subsidised NPD project may allow a plant to develop improved routines or processes. Better routines may then help to minimise the innovation impacts of either financial constraints or regulatory restrictions. Results here are rather mixed with neither aspect of the business environment having a significant effect on innovation outcomes in the baseline models (Table 2). Legacy experiential additionality effects are also only evident in terms of regulatory barriers with no significant finance effect for either the narrow or broad measure of innovative sales (Model 5, Tables 3 and 4). A joint test of the equality of the coefficients on the two experiential additionality measures is rejected only in the case of the narrow measure of innovative sales providing only partial support for any legacy experiential additionality effects from NPD subsidies (Table 5).</w:t>
      </w:r>
    </w:p>
    <w:p w:rsidR="000B51E0" w:rsidRDefault="000B51E0">
      <w:pPr>
        <w:rPr>
          <w:rFonts w:ascii="Arial" w:hAnsi="Arial" w:cs="Arial"/>
          <w:sz w:val="22"/>
          <w:szCs w:val="22"/>
        </w:rPr>
      </w:pPr>
      <w:r>
        <w:rPr>
          <w:rFonts w:ascii="Arial" w:hAnsi="Arial" w:cs="Arial"/>
          <w:sz w:val="22"/>
          <w:szCs w:val="22"/>
        </w:rPr>
        <w:br w:type="page"/>
      </w:r>
    </w:p>
    <w:p w:rsidR="000A70B0" w:rsidRPr="00645DAD" w:rsidRDefault="000A70B0" w:rsidP="00300C8D">
      <w:pPr>
        <w:spacing w:after="300" w:line="360" w:lineRule="auto"/>
        <w:jc w:val="both"/>
        <w:rPr>
          <w:rFonts w:ascii="Arial" w:hAnsi="Arial" w:cs="Arial"/>
          <w:sz w:val="22"/>
          <w:szCs w:val="22"/>
        </w:rPr>
      </w:pPr>
      <w:r w:rsidRPr="00300C8D">
        <w:rPr>
          <w:rFonts w:ascii="Arial" w:hAnsi="Arial" w:cs="Arial"/>
          <w:sz w:val="22"/>
          <w:szCs w:val="22"/>
        </w:rPr>
        <w:lastRenderedPageBreak/>
        <w:t>So far we have considered the legacy effects of public subsidies for NPD. Repeating the analysis for prior receipt of public subsidies targeted at more basic R&amp;D (not linked to any specific product/service) suggests strikingly different results, however.</w:t>
      </w:r>
      <w:r w:rsidRPr="00300C8D">
        <w:rPr>
          <w:rStyle w:val="FootnoteReference"/>
          <w:rFonts w:ascii="Arial" w:hAnsi="Arial" w:cs="Arial"/>
          <w:sz w:val="22"/>
          <w:szCs w:val="22"/>
        </w:rPr>
        <w:footnoteReference w:id="14"/>
      </w:r>
      <w:r w:rsidRPr="00300C8D">
        <w:rPr>
          <w:rFonts w:ascii="Arial" w:hAnsi="Arial" w:cs="Arial"/>
          <w:sz w:val="22"/>
          <w:szCs w:val="22"/>
        </w:rPr>
        <w:t xml:space="preserve"> For NPD subsidies the most consistent legacy effects are congenital and inter-organisational, both of which reflect improvements in the innovation capabilities of subsidised plants. For R&amp;D subsidies, however, neither of these behavioural additionality effects are significant (Table 5). Here, instead, here the most consistent legacy effect operates through prior innovation or output additionality. One possibility is that this contrast reflects the nature of the innovation activity being supported by each type of subsidy: R&amp;D subsidies are likely to support more basic research activity, with projects being undertaken predominantly by either scientific or technical staff; Subsidised NPD projects on the other hand are likely to involve a wider range of skill groups with the potential for a broader legacy of capability development. </w:t>
      </w:r>
    </w:p>
    <w:p w:rsidR="000A70B0" w:rsidRPr="001C34EE" w:rsidRDefault="001C34EE" w:rsidP="001C34EE">
      <w:pPr>
        <w:pStyle w:val="Heading1"/>
        <w:rPr>
          <w:rFonts w:hint="eastAsia"/>
          <w:sz w:val="28"/>
          <w:szCs w:val="28"/>
        </w:rPr>
      </w:pPr>
      <w:bookmarkStart w:id="12" w:name="_Toc391474614"/>
      <w:r w:rsidRPr="001C34EE">
        <w:rPr>
          <w:sz w:val="28"/>
          <w:szCs w:val="28"/>
        </w:rPr>
        <w:t>5. CONCLUSIONS</w:t>
      </w:r>
      <w:bookmarkEnd w:id="12"/>
      <w:r w:rsidRPr="001C34EE">
        <w:rPr>
          <w:sz w:val="28"/>
          <w:szCs w:val="28"/>
        </w:rPr>
        <w:t xml:space="preserve"> </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Two main empirical conclusions follow from our study. First, our study suggests the significance of the legacy effects of innovation subsidies, reinforcing other international evidence of the positive short-term additionality of such public support for innovation </w:t>
      </w:r>
      <w:r w:rsidRPr="00300C8D">
        <w:rPr>
          <w:rFonts w:ascii="Arial" w:hAnsi="Arial" w:cs="Arial"/>
          <w:noProof/>
          <w:sz w:val="22"/>
          <w:szCs w:val="22"/>
        </w:rPr>
        <w:t>(Aerts and Schmidt, 2008, Aschhoff and Fier, 2005, Buiseret et al., 1995, Czarnitzki and Licht, 2006, Hewitt-Dundas and Roper, 2009, Hsu et al., 2009)</w:t>
      </w:r>
      <w:r w:rsidRPr="00300C8D">
        <w:rPr>
          <w:rFonts w:ascii="Arial" w:hAnsi="Arial" w:cs="Arial"/>
          <w:sz w:val="22"/>
          <w:szCs w:val="22"/>
        </w:rPr>
        <w:t xml:space="preserve">. The implication is that any assessment of the benefits of innovation support based solely on its short-term impacts is likely to under-estimate the total benefits of such support to recipient firms. This supports other suggestions </w:t>
      </w:r>
      <w:r w:rsidRPr="00300C8D">
        <w:rPr>
          <w:rFonts w:ascii="Arial" w:hAnsi="Arial" w:cs="Arial"/>
          <w:noProof/>
          <w:sz w:val="22"/>
          <w:szCs w:val="22"/>
        </w:rPr>
        <w:t>(Martin and Scott, 2000, Woolthuis et al., 2005)</w:t>
      </w:r>
      <w:r w:rsidRPr="00300C8D">
        <w:rPr>
          <w:rFonts w:ascii="Arial" w:hAnsi="Arial" w:cs="Arial"/>
          <w:sz w:val="22"/>
          <w:szCs w:val="22"/>
        </w:rPr>
        <w:t xml:space="preserve"> that undertaking innovation policy evaluation with a short-term perspective on its benefits may result in policy failure which lead to an under-investment in public innovation support, exacerbating market or system failures. This effect is likely to be more serious where short-term evaluations also under-estimate the wider social </w:t>
      </w:r>
      <w:r w:rsidRPr="00300C8D">
        <w:rPr>
          <w:rFonts w:ascii="Arial" w:hAnsi="Arial" w:cs="Arial"/>
          <w:sz w:val="22"/>
          <w:szCs w:val="22"/>
        </w:rPr>
        <w:lastRenderedPageBreak/>
        <w:t xml:space="preserve">benefits of innovation support, benefits which are also only likely to be observable in the longer-term </w:t>
      </w:r>
      <w:r w:rsidRPr="00300C8D">
        <w:rPr>
          <w:rFonts w:ascii="Arial" w:hAnsi="Arial" w:cs="Arial"/>
          <w:noProof/>
          <w:sz w:val="22"/>
          <w:szCs w:val="22"/>
        </w:rPr>
        <w:t>(Beugelsdijck and Cornet, 2001)</w:t>
      </w:r>
      <w:r w:rsidRPr="00300C8D">
        <w:rPr>
          <w:rFonts w:ascii="Arial" w:hAnsi="Arial" w:cs="Arial"/>
          <w:sz w:val="22"/>
          <w:szCs w:val="22"/>
        </w:rPr>
        <w:t xml:space="preserve">.  </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Second, our study identifies clear contrasts between the types of legacy effect which arise from different types of innovation subsidies: NPD subsidies lead to a legacy of broadly based capability development, while R&amp;D subsidies result only in legacy effects mediated through prior innovation. The suggestion is that the legacy effects of each type of subsidy operate through very different mechanisms. Legacy effects from NPD subsidies appear largely behavioural, with subsidies generating longer-term benefits through increases in the innovation benefits of plants’ human capital and network relationships. For R&amp;D subsidies the key legacy effect operates through a process of product quality improvement rather than through a legacy of improved innovation capabilities. R&amp;D support in particular might be expected to contribute in the longer-term to the quality of firms’ product portfolio through a quality ladder effect and hence to the longer term success of firms’ innovation </w:t>
      </w:r>
      <w:r w:rsidRPr="00300C8D">
        <w:rPr>
          <w:rFonts w:ascii="Arial" w:hAnsi="Arial" w:cs="Arial"/>
          <w:noProof/>
          <w:sz w:val="22"/>
          <w:szCs w:val="22"/>
        </w:rPr>
        <w:t>(Grupp and Stadler, 2005)</w:t>
      </w:r>
      <w:r w:rsidRPr="00300C8D">
        <w:rPr>
          <w:rFonts w:ascii="Arial" w:hAnsi="Arial" w:cs="Arial"/>
          <w:sz w:val="22"/>
          <w:szCs w:val="22"/>
        </w:rPr>
        <w:t xml:space="preserve"> and exporting </w:t>
      </w:r>
      <w:r w:rsidRPr="00300C8D">
        <w:rPr>
          <w:rFonts w:ascii="Arial" w:hAnsi="Arial" w:cs="Arial"/>
          <w:noProof/>
          <w:sz w:val="22"/>
          <w:szCs w:val="22"/>
        </w:rPr>
        <w:t>(Chen, 2012)</w:t>
      </w:r>
      <w:r w:rsidRPr="00300C8D">
        <w:rPr>
          <w:rFonts w:ascii="Arial" w:hAnsi="Arial" w:cs="Arial"/>
          <w:sz w:val="22"/>
          <w:szCs w:val="22"/>
        </w:rPr>
        <w:t>.</w:t>
      </w:r>
    </w:p>
    <w:p w:rsidR="000A70B0" w:rsidRPr="00300C8D"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From a policy perspective, our results suggest that the legacy effects of innovation subsidies extend beyond the generally anticipated behavioural effects and include legacy output additionality effects. The potential for such legacy effects suggests that implementing measures to help firms capture the potential longer-term benefits of publicly supported innovation projects may be helpful. In terms of business finance, for example, there has recently been considerable discussion of intelligent finance or intelligent capital and the notion that venture capital firms often provide both finance and managerial expertise to their client companies. In terms of NPD or R&amp;D support the analogue – intelligent innovation policy – might provide technology or innovation management support to firms alongside any subsidy support to help firms capture and embed potential strategic lessons </w:t>
      </w:r>
      <w:r w:rsidRPr="00300C8D">
        <w:rPr>
          <w:rFonts w:ascii="Arial" w:hAnsi="Arial" w:cs="Arial"/>
          <w:sz w:val="22"/>
          <w:szCs w:val="22"/>
        </w:rPr>
        <w:fldChar w:fldCharType="begin"/>
      </w:r>
      <w:r w:rsidRPr="00300C8D">
        <w:rPr>
          <w:rFonts w:ascii="Arial" w:hAnsi="Arial" w:cs="Arial"/>
          <w:sz w:val="22"/>
          <w:szCs w:val="22"/>
        </w:rPr>
        <w:instrText xml:space="preserve"> ADDIN EN.CITE &lt;EndNote&gt;&lt;Cite&gt;&lt;Author&gt;Board&lt;/Author&gt;&lt;Year&gt;2013&lt;/Year&gt;&lt;RecNum&gt;2521&lt;/RecNum&gt;&lt;DisplayText&gt;(Technology Strategy Board 2013)&lt;/DisplayText&gt;&lt;record&gt;&lt;rec-number&gt;2521&lt;/rec-number&gt;&lt;foreign-keys&gt;&lt;key app="EN" db-id="svsxat9wbd950ve99v5x2vtvwxdrfeerrpfp" timestamp="1390322268"&gt;2521&lt;/key&gt;&lt;/foreign-keys&gt;&lt;ref-type name="Government Document"&gt;46&lt;/ref-type&gt;&lt;contributors&gt;&lt;authors&gt;&lt;author&gt;Technology Strategy Board,&lt;/author&gt;&lt;/authors&gt;&lt;secondary-authors&gt;&lt;author&gt;Technology Strategy Board&lt;/author&gt;&lt;/secondary-authors&gt;&lt;/contributors&gt;&lt;titles&gt;&lt;title&gt;Accelerating innovation and growth - Pilot SME growth programme - formative evaluation&lt;/title&gt;&lt;/titles&gt;&lt;dates&gt;&lt;year&gt;2013&lt;/year&gt;&lt;/dates&gt;&lt;pub-location&gt;Swindon &lt;/pub-location&gt;&lt;urls&gt;&lt;/urls&gt;&lt;/record&gt;&lt;/Cite&gt;&lt;/EndNote&gt;</w:instrText>
      </w:r>
      <w:r w:rsidRPr="00300C8D">
        <w:rPr>
          <w:rFonts w:ascii="Arial" w:hAnsi="Arial" w:cs="Arial"/>
          <w:sz w:val="22"/>
          <w:szCs w:val="22"/>
        </w:rPr>
        <w:fldChar w:fldCharType="separate"/>
      </w:r>
      <w:r w:rsidRPr="00300C8D">
        <w:rPr>
          <w:rFonts w:ascii="Arial" w:hAnsi="Arial" w:cs="Arial"/>
          <w:noProof/>
          <w:sz w:val="22"/>
          <w:szCs w:val="22"/>
        </w:rPr>
        <w:t>(</w:t>
      </w:r>
      <w:hyperlink w:anchor="_ENREF_1" w:tooltip="Technology Strategy Board, 2013 #2521" w:history="1">
        <w:r w:rsidRPr="00300C8D">
          <w:rPr>
            <w:rFonts w:ascii="Arial" w:hAnsi="Arial" w:cs="Arial"/>
            <w:noProof/>
            <w:sz w:val="22"/>
            <w:szCs w:val="22"/>
          </w:rPr>
          <w:t>Technology Strategy Board 2013</w:t>
        </w:r>
      </w:hyperlink>
      <w:r w:rsidRPr="00300C8D">
        <w:rPr>
          <w:rFonts w:ascii="Arial" w:hAnsi="Arial" w:cs="Arial"/>
          <w:noProof/>
          <w:sz w:val="22"/>
          <w:szCs w:val="22"/>
        </w:rPr>
        <w:t>)</w:t>
      </w:r>
      <w:r w:rsidRPr="00300C8D">
        <w:rPr>
          <w:rFonts w:ascii="Arial" w:hAnsi="Arial" w:cs="Arial"/>
          <w:sz w:val="22"/>
          <w:szCs w:val="22"/>
        </w:rPr>
        <w:fldChar w:fldCharType="end"/>
      </w:r>
      <w:r w:rsidRPr="00300C8D">
        <w:rPr>
          <w:rFonts w:ascii="Arial" w:hAnsi="Arial" w:cs="Arial"/>
          <w:sz w:val="22"/>
          <w:szCs w:val="22"/>
        </w:rPr>
        <w:t xml:space="preserve">. </w:t>
      </w:r>
    </w:p>
    <w:p w:rsidR="00C20FC6" w:rsidRPr="00A844B6" w:rsidRDefault="000A70B0" w:rsidP="00300C8D">
      <w:pPr>
        <w:spacing w:after="300" w:line="360" w:lineRule="auto"/>
        <w:jc w:val="both"/>
        <w:rPr>
          <w:rFonts w:ascii="Arial" w:hAnsi="Arial" w:cs="Arial"/>
          <w:sz w:val="22"/>
          <w:szCs w:val="22"/>
        </w:rPr>
      </w:pPr>
      <w:r w:rsidRPr="00300C8D">
        <w:rPr>
          <w:rFonts w:ascii="Arial" w:hAnsi="Arial" w:cs="Arial"/>
          <w:sz w:val="22"/>
          <w:szCs w:val="22"/>
        </w:rPr>
        <w:t xml:space="preserve">Our study suffers from a number of limitations. First, it is restricted to a single geographic area and covers only manufacturing firms. This may be </w:t>
      </w:r>
      <w:r w:rsidRPr="00300C8D">
        <w:rPr>
          <w:rFonts w:ascii="Arial" w:hAnsi="Arial" w:cs="Arial"/>
          <w:sz w:val="22"/>
          <w:szCs w:val="22"/>
        </w:rPr>
        <w:lastRenderedPageBreak/>
        <w:t xml:space="preserve">imparting a bias to the results and it would be useful therefore to examine the profile of legacy effects from innovation subsidies for different groups of firms. Second, while the literature around behavioural additionality has developed rapidly over recent years there has been less discussion of the different dimensions of output additionality. How does this work? Is this a product quality or novelty effect? Or, does this effect relate to firms’ development of new platform technologies? Further research examining these alternative types of output additionality would be valuable in understanding the full range of legacy effects from innovation support. Third, because of the structure of the IIP which focuses on three year reference periods, our analysis is restricted to the legacy effects of innovation subsidies which occur in the period 4 to 6 years after the initial support was provided. Long product development cycles in some industries, however, may make even this timescale too short and even longer-term follow-ups of innovation support may help to clarify the full range of benefits from such interventions. Finally, it is worth noting that our analysis also focuses specifically on the legacy benefits for the subsidised organisation itself. However, there may well be wider economic or social benefits from public R&amp;D subsidies which would also need to be taken into account in order to capture the full range of benefits from such support (Roper et al, 2004). Accounting for these benefits may help to provide a more comprehensive view of the social and economic returns to innovation subsidies. </w:t>
      </w:r>
    </w:p>
    <w:p w:rsidR="006D0AB8" w:rsidRPr="0096510B" w:rsidRDefault="00C20FC6" w:rsidP="006D0AB8">
      <w:pPr>
        <w:jc w:val="center"/>
        <w:rPr>
          <w:rFonts w:ascii="Arial" w:hAnsi="Arial" w:cs="Arial"/>
          <w:b/>
          <w:sz w:val="22"/>
          <w:szCs w:val="22"/>
        </w:rPr>
      </w:pPr>
      <w:r>
        <w:rPr>
          <w:rFonts w:ascii="Arial" w:hAnsi="Arial" w:cs="Arial"/>
          <w:szCs w:val="22"/>
        </w:rPr>
        <w:br w:type="page"/>
      </w:r>
      <w:r w:rsidR="006D0AB8" w:rsidRPr="0096510B">
        <w:rPr>
          <w:rFonts w:ascii="Arial" w:hAnsi="Arial" w:cs="Arial"/>
          <w:b/>
          <w:sz w:val="22"/>
          <w:szCs w:val="22"/>
        </w:rPr>
        <w:lastRenderedPageBreak/>
        <w:t xml:space="preserve">Figure 1: Research model </w:t>
      </w:r>
    </w:p>
    <w:p w:rsidR="00C20FC6" w:rsidRDefault="006D0AB8" w:rsidP="006D0AB8">
      <w:pPr>
        <w:spacing w:after="300" w:line="360" w:lineRule="auto"/>
        <w:ind w:left="-851"/>
        <w:jc w:val="both"/>
        <w:rPr>
          <w:rFonts w:ascii="Arial" w:hAnsi="Arial" w:cs="Arial"/>
          <w:szCs w:val="22"/>
        </w:rPr>
      </w:pPr>
      <w:r>
        <w:object w:dxaOrig="14456" w:dyaOrig="11233">
          <v:shape id="_x0000_i1027" type="#_x0000_t75" style="width:451.35pt;height:350.35pt" o:ole="">
            <v:imagedata r:id="rId14" o:title=""/>
          </v:shape>
          <o:OLEObject Type="Embed" ProgID="Visio.Drawing.11" ShapeID="_x0000_i1027" DrawAspect="Content" ObjectID="_1468217430" r:id="rId15"/>
        </w:object>
      </w: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03203F" w:rsidRDefault="0003203F">
      <w:pPr>
        <w:rPr>
          <w:rFonts w:ascii="Arial" w:hAnsi="Arial" w:cs="Arial"/>
          <w:szCs w:val="22"/>
        </w:rPr>
      </w:pPr>
      <w:r>
        <w:rPr>
          <w:rFonts w:ascii="Arial" w:hAnsi="Arial" w:cs="Arial"/>
          <w:szCs w:val="22"/>
        </w:rPr>
        <w:br w:type="page"/>
      </w:r>
    </w:p>
    <w:p w:rsidR="0096510B" w:rsidRPr="0096510B" w:rsidRDefault="0096510B" w:rsidP="0096510B">
      <w:pPr>
        <w:jc w:val="center"/>
        <w:rPr>
          <w:rFonts w:ascii="Arial" w:hAnsi="Arial" w:cs="Arial"/>
          <w:b/>
          <w:sz w:val="22"/>
          <w:szCs w:val="22"/>
        </w:rPr>
      </w:pPr>
      <w:r w:rsidRPr="0096510B">
        <w:rPr>
          <w:rFonts w:ascii="Arial" w:hAnsi="Arial" w:cs="Arial"/>
          <w:b/>
          <w:sz w:val="22"/>
          <w:szCs w:val="22"/>
        </w:rPr>
        <w:lastRenderedPageBreak/>
        <w:t xml:space="preserve">Table 1: Sample Descriptives for estimation sample </w:t>
      </w:r>
    </w:p>
    <w:tbl>
      <w:tblPr>
        <w:tblW w:w="7384" w:type="dxa"/>
        <w:tblInd w:w="198" w:type="dxa"/>
        <w:tblLook w:val="04A0" w:firstRow="1" w:lastRow="0" w:firstColumn="1" w:lastColumn="0" w:noHBand="0" w:noVBand="1"/>
      </w:tblPr>
      <w:tblGrid>
        <w:gridCol w:w="3870"/>
        <w:gridCol w:w="1465"/>
        <w:gridCol w:w="1020"/>
        <w:gridCol w:w="1029"/>
      </w:tblGrid>
      <w:tr w:rsidR="0096510B" w:rsidRPr="009D35F8" w:rsidTr="007B4694">
        <w:trPr>
          <w:trHeight w:val="300"/>
        </w:trPr>
        <w:tc>
          <w:tcPr>
            <w:tcW w:w="3870" w:type="dxa"/>
            <w:tcBorders>
              <w:top w:val="nil"/>
              <w:left w:val="nil"/>
              <w:bottom w:val="single" w:sz="4" w:space="0" w:color="auto"/>
              <w:right w:val="nil"/>
            </w:tcBorders>
            <w:shd w:val="clear" w:color="auto" w:fill="auto"/>
            <w:noWrap/>
            <w:vAlign w:val="bottom"/>
            <w:hideMark/>
          </w:tcPr>
          <w:p w:rsidR="0096510B" w:rsidRPr="009D35F8" w:rsidRDefault="0096510B" w:rsidP="005206BB">
            <w:pPr>
              <w:rPr>
                <w:lang w:eastAsia="en-GB"/>
              </w:rPr>
            </w:pPr>
          </w:p>
        </w:tc>
        <w:tc>
          <w:tcPr>
            <w:tcW w:w="1465" w:type="dxa"/>
            <w:tcBorders>
              <w:top w:val="nil"/>
              <w:left w:val="nil"/>
              <w:bottom w:val="single" w:sz="4" w:space="0" w:color="auto"/>
              <w:right w:val="nil"/>
            </w:tcBorders>
            <w:shd w:val="clear" w:color="auto" w:fill="auto"/>
            <w:noWrap/>
            <w:vAlign w:val="bottom"/>
            <w:hideMark/>
          </w:tcPr>
          <w:p w:rsidR="0096510B" w:rsidRPr="009D35F8" w:rsidRDefault="0096510B" w:rsidP="005206BB">
            <w:pPr>
              <w:rPr>
                <w:lang w:eastAsia="en-GB"/>
              </w:rPr>
            </w:pPr>
          </w:p>
        </w:tc>
        <w:tc>
          <w:tcPr>
            <w:tcW w:w="1020" w:type="dxa"/>
            <w:tcBorders>
              <w:top w:val="nil"/>
              <w:left w:val="nil"/>
              <w:bottom w:val="single" w:sz="4" w:space="0" w:color="auto"/>
              <w:right w:val="nil"/>
            </w:tcBorders>
            <w:shd w:val="clear" w:color="auto" w:fill="auto"/>
            <w:noWrap/>
            <w:vAlign w:val="bottom"/>
            <w:hideMark/>
          </w:tcPr>
          <w:p w:rsidR="0096510B" w:rsidRPr="009D35F8" w:rsidRDefault="0096510B" w:rsidP="005206BB">
            <w:pPr>
              <w:rPr>
                <w:lang w:eastAsia="en-GB"/>
              </w:rPr>
            </w:pPr>
          </w:p>
        </w:tc>
        <w:tc>
          <w:tcPr>
            <w:tcW w:w="1029" w:type="dxa"/>
            <w:tcBorders>
              <w:top w:val="nil"/>
              <w:left w:val="nil"/>
              <w:bottom w:val="single" w:sz="4" w:space="0" w:color="auto"/>
              <w:right w:val="nil"/>
            </w:tcBorders>
            <w:shd w:val="clear" w:color="auto" w:fill="auto"/>
            <w:noWrap/>
            <w:vAlign w:val="bottom"/>
            <w:hideMark/>
          </w:tcPr>
          <w:p w:rsidR="0096510B" w:rsidRPr="009D35F8" w:rsidRDefault="0096510B" w:rsidP="005206BB">
            <w:pPr>
              <w:rPr>
                <w:lang w:eastAsia="en-GB"/>
              </w:rPr>
            </w:pPr>
          </w:p>
        </w:tc>
      </w:tr>
      <w:tr w:rsidR="0096510B" w:rsidRPr="009D35F8" w:rsidTr="007B4694">
        <w:trPr>
          <w:trHeight w:val="300"/>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rPr>
                <w:lang w:eastAsia="en-GB"/>
              </w:rPr>
            </w:pPr>
            <w:r w:rsidRPr="009D35F8">
              <w:rPr>
                <w:lang w:eastAsia="en-GB"/>
              </w:rPr>
              <w:t>|</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center"/>
              <w:rPr>
                <w:lang w:eastAsia="en-GB"/>
              </w:rPr>
            </w:pPr>
            <w:r w:rsidRPr="009D35F8">
              <w:rPr>
                <w:lang w:eastAsia="en-GB"/>
              </w:rPr>
              <w:t>No. of</w:t>
            </w:r>
          </w:p>
          <w:p w:rsidR="0096510B" w:rsidRPr="009D35F8" w:rsidRDefault="0096510B" w:rsidP="005206BB">
            <w:pPr>
              <w:jc w:val="center"/>
              <w:rPr>
                <w:lang w:eastAsia="en-GB"/>
              </w:rPr>
            </w:pPr>
            <w:r w:rsidRPr="009D35F8">
              <w:rPr>
                <w:lang w:eastAsia="en-GB"/>
              </w:rPr>
              <w:t>observations</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center"/>
              <w:rPr>
                <w:lang w:eastAsia="en-GB"/>
              </w:rPr>
            </w:pPr>
            <w:r w:rsidRPr="009D35F8">
              <w:rPr>
                <w:lang w:eastAsia="en-GB"/>
              </w:rPr>
              <w:t>Mean</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center"/>
              <w:rPr>
                <w:lang w:eastAsia="en-GB"/>
              </w:rPr>
            </w:pPr>
            <w:r w:rsidRPr="009D35F8">
              <w:rPr>
                <w:lang w:eastAsia="en-GB"/>
              </w:rPr>
              <w:t>Std. Dev.</w:t>
            </w:r>
          </w:p>
        </w:tc>
      </w:tr>
      <w:tr w:rsidR="0096510B" w:rsidRPr="009D35F8" w:rsidTr="007B4694">
        <w:trPr>
          <w:trHeight w:val="300"/>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rPr>
                <w:b/>
                <w:lang w:eastAsia="en-GB"/>
              </w:rPr>
            </w:pPr>
            <w:r w:rsidRPr="009D35F8">
              <w:rPr>
                <w:b/>
                <w:lang w:eastAsia="en-GB"/>
              </w:rPr>
              <w:t xml:space="preserve">Innovation Measures </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r>
      <w:tr w:rsidR="0096510B" w:rsidRPr="009D35F8" w:rsidTr="007B4694">
        <w:trPr>
          <w:trHeight w:hRule="exact" w:val="576"/>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rPr>
                <w:lang w:eastAsia="en-GB"/>
              </w:rPr>
            </w:pPr>
            <w:r w:rsidRPr="009D35F8">
              <w:rPr>
                <w:lang w:eastAsia="en-GB"/>
              </w:rPr>
              <w:t>Sales of new products (percentage of sales)</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1678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12.293</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19.766</w:t>
            </w:r>
          </w:p>
        </w:tc>
      </w:tr>
      <w:tr w:rsidR="0096510B" w:rsidRPr="009D35F8" w:rsidTr="007B4694">
        <w:trPr>
          <w:trHeight w:hRule="exact" w:val="576"/>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rPr>
                <w:lang w:eastAsia="en-GB"/>
              </w:rPr>
            </w:pPr>
            <w:r w:rsidRPr="009D35F8">
              <w:rPr>
                <w:lang w:eastAsia="en-GB"/>
              </w:rPr>
              <w:t>Sales of new and improved products (percentage of sales)</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1674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21.355</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28.299</w:t>
            </w:r>
          </w:p>
        </w:tc>
      </w:tr>
      <w:tr w:rsidR="0096510B" w:rsidRPr="009D35F8" w:rsidTr="007B4694">
        <w:trPr>
          <w:trHeight w:hRule="exact" w:val="288"/>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rPr>
                <w:b/>
                <w:lang w:eastAsia="en-GB"/>
              </w:rPr>
            </w:pP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right"/>
              <w:rPr>
                <w:lang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right"/>
              <w:rPr>
                <w:lang w:eastAsia="en-GB"/>
              </w:rPr>
            </w:pP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right"/>
              <w:rPr>
                <w:lang w:eastAsia="en-GB"/>
              </w:rPr>
            </w:pP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rPr>
                <w:b/>
                <w:lang w:eastAsia="en-GB"/>
              </w:rPr>
            </w:pPr>
            <w:r w:rsidRPr="009D35F8">
              <w:rPr>
                <w:b/>
                <w:lang w:eastAsia="en-GB"/>
              </w:rPr>
              <w:t xml:space="preserve">Public support indicators </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right"/>
              <w:rPr>
                <w:lang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right"/>
              <w:rPr>
                <w:lang w:eastAsia="en-GB"/>
              </w:rPr>
            </w:pP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right"/>
              <w:rPr>
                <w:lang w:eastAsia="en-GB"/>
              </w:rPr>
            </w:pP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rPr>
                <w:lang w:eastAsia="en-GB"/>
              </w:rPr>
            </w:pPr>
            <w:r w:rsidRPr="009D35F8">
              <w:rPr>
                <w:lang w:eastAsia="en-GB"/>
              </w:rPr>
              <w:t>Public support for NPD</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1765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0.214</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0.410</w:t>
            </w: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rPr>
                <w:lang w:eastAsia="en-GB"/>
              </w:rPr>
            </w:pPr>
            <w:r w:rsidRPr="009D35F8">
              <w:rPr>
                <w:lang w:eastAsia="en-GB"/>
              </w:rPr>
              <w:t>Public support for R&amp;D</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right"/>
              <w:rPr>
                <w:lang w:eastAsia="en-GB"/>
              </w:rPr>
            </w:pPr>
            <w:r w:rsidRPr="009D35F8">
              <w:rPr>
                <w:lang w:eastAsia="en-GB"/>
              </w:rPr>
              <w:t>1769</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right"/>
              <w:rPr>
                <w:lang w:eastAsia="en-GB"/>
              </w:rPr>
            </w:pPr>
            <w:r w:rsidRPr="009D35F8">
              <w:rPr>
                <w:lang w:eastAsia="en-GB"/>
              </w:rPr>
              <w:t>0.118</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right"/>
              <w:rPr>
                <w:lang w:eastAsia="en-GB"/>
              </w:rPr>
            </w:pPr>
            <w:r w:rsidRPr="009D35F8">
              <w:rPr>
                <w:lang w:eastAsia="en-GB"/>
              </w:rPr>
              <w:t>0.322</w:t>
            </w: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rPr>
                <w:b/>
                <w:lang w:eastAsia="en-GB"/>
              </w:rPr>
            </w:pP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rPr>
                <w:b/>
                <w:lang w:eastAsia="en-GB"/>
              </w:rPr>
            </w:pPr>
            <w:r>
              <w:rPr>
                <w:b/>
                <w:lang w:eastAsia="en-GB"/>
              </w:rPr>
              <w:t xml:space="preserve">Legacy </w:t>
            </w:r>
            <w:r w:rsidRPr="009D35F8">
              <w:rPr>
                <w:b/>
                <w:lang w:eastAsia="en-GB"/>
              </w:rPr>
              <w:t xml:space="preserve">measures </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rPr>
                <w:lang w:eastAsia="en-GB"/>
              </w:rPr>
            </w:pPr>
            <w:r w:rsidRPr="009D35F8">
              <w:rPr>
                <w:lang w:eastAsia="en-GB"/>
              </w:rPr>
              <w:t>In-house R&amp;D (yes/no)</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1776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0.461</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0.498</w:t>
            </w:r>
          </w:p>
        </w:tc>
      </w:tr>
      <w:tr w:rsidR="0096510B" w:rsidRPr="009D35F8" w:rsidTr="007B4694">
        <w:trPr>
          <w:trHeight w:hRule="exact" w:val="576"/>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7B4694">
            <w:pPr>
              <w:rPr>
                <w:lang w:eastAsia="en-GB"/>
              </w:rPr>
            </w:pPr>
            <w:r w:rsidRPr="009D35F8">
              <w:rPr>
                <w:lang w:eastAsia="en-GB"/>
              </w:rPr>
              <w:t>Workforce with degree (percentage of</w:t>
            </w:r>
            <w:r w:rsidR="007B4694">
              <w:rPr>
                <w:lang w:eastAsia="en-GB"/>
              </w:rPr>
              <w:t xml:space="preserve"> </w:t>
            </w:r>
            <w:r w:rsidRPr="009D35F8">
              <w:rPr>
                <w:lang w:eastAsia="en-GB"/>
              </w:rPr>
              <w:t>workforce)</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1696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9.695</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12.719</w:t>
            </w:r>
          </w:p>
        </w:tc>
      </w:tr>
      <w:tr w:rsidR="0096510B" w:rsidRPr="009D35F8" w:rsidTr="007B4694">
        <w:trPr>
          <w:trHeight w:hRule="exact" w:val="576"/>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694" w:rsidRDefault="0096510B" w:rsidP="005206BB">
            <w:pPr>
              <w:rPr>
                <w:lang w:eastAsia="en-GB"/>
              </w:rPr>
            </w:pPr>
            <w:r w:rsidRPr="009D35F8">
              <w:rPr>
                <w:lang w:eastAsia="en-GB"/>
              </w:rPr>
              <w:t>Innovation barrier: Technical skills</w:t>
            </w:r>
          </w:p>
          <w:p w:rsidR="0096510B" w:rsidRPr="009D35F8" w:rsidRDefault="0096510B" w:rsidP="005206BB">
            <w:pPr>
              <w:rPr>
                <w:lang w:eastAsia="en-GB"/>
              </w:rPr>
            </w:pPr>
            <w:r w:rsidRPr="009D35F8">
              <w:rPr>
                <w:lang w:eastAsia="en-GB"/>
              </w:rPr>
              <w:t>(yes/no)</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1798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0.372</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0.483</w:t>
            </w:r>
          </w:p>
        </w:tc>
      </w:tr>
      <w:tr w:rsidR="0096510B" w:rsidRPr="009D35F8" w:rsidTr="007B4694">
        <w:trPr>
          <w:trHeight w:hRule="exact" w:val="576"/>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7B4694">
            <w:pPr>
              <w:rPr>
                <w:lang w:eastAsia="en-GB"/>
              </w:rPr>
            </w:pPr>
            <w:r w:rsidRPr="009D35F8">
              <w:rPr>
                <w:lang w:eastAsia="en-GB"/>
              </w:rPr>
              <w:t>Breadth of external search (number of partner</w:t>
            </w:r>
            <w:r w:rsidR="007B4694">
              <w:rPr>
                <w:lang w:eastAsia="en-GB"/>
              </w:rPr>
              <w:t xml:space="preserve"> </w:t>
            </w:r>
            <w:r w:rsidRPr="009D35F8">
              <w:rPr>
                <w:lang w:eastAsia="en-GB"/>
              </w:rPr>
              <w:t>types)</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1764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1.190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1.879</w:t>
            </w:r>
          </w:p>
        </w:tc>
      </w:tr>
      <w:tr w:rsidR="0096510B" w:rsidRPr="009D35F8" w:rsidTr="007B4694">
        <w:trPr>
          <w:trHeight w:hRule="exact" w:val="576"/>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7B4694">
            <w:pPr>
              <w:rPr>
                <w:lang w:eastAsia="en-GB"/>
              </w:rPr>
            </w:pPr>
            <w:r w:rsidRPr="009D35F8">
              <w:rPr>
                <w:lang w:eastAsia="en-GB"/>
              </w:rPr>
              <w:t>Innovation barrier: Lack technical information</w:t>
            </w:r>
            <w:r w:rsidR="007B4694">
              <w:rPr>
                <w:lang w:eastAsia="en-GB"/>
              </w:rPr>
              <w:t xml:space="preserve"> </w:t>
            </w:r>
            <w:r w:rsidRPr="009D35F8">
              <w:rPr>
                <w:lang w:eastAsia="en-GB"/>
              </w:rPr>
              <w:t xml:space="preserve"> (yes/no)</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1764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4.946</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11.124</w:t>
            </w:r>
          </w:p>
        </w:tc>
      </w:tr>
      <w:tr w:rsidR="0096510B" w:rsidRPr="009D35F8" w:rsidTr="007B4694">
        <w:trPr>
          <w:trHeight w:hRule="exact" w:val="576"/>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rPr>
                <w:lang w:eastAsia="en-GB"/>
              </w:rPr>
            </w:pPr>
            <w:r w:rsidRPr="009D35F8">
              <w:rPr>
                <w:lang w:eastAsia="en-GB"/>
              </w:rPr>
              <w:t>Innovation barrier: Regulatory or legislative factors (yes/no)</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1798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0.351</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0.477</w:t>
            </w:r>
          </w:p>
        </w:tc>
      </w:tr>
      <w:tr w:rsidR="0096510B" w:rsidRPr="009D35F8" w:rsidTr="007B4694">
        <w:trPr>
          <w:trHeight w:hRule="exact" w:val="576"/>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rPr>
                <w:lang w:eastAsia="en-GB"/>
              </w:rPr>
            </w:pPr>
            <w:r w:rsidRPr="009D35F8">
              <w:rPr>
                <w:lang w:eastAsia="en-GB"/>
              </w:rPr>
              <w:t>Innovation barrier: Lack finance for innovation (yes/no)</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1798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0.383</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0.486</w:t>
            </w: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rPr>
                <w:b/>
                <w:lang w:eastAsia="en-GB"/>
              </w:rPr>
            </w:pP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rPr>
                <w:b/>
                <w:lang w:eastAsia="en-GB"/>
              </w:rPr>
            </w:pPr>
            <w:r w:rsidRPr="009D35F8">
              <w:rPr>
                <w:b/>
                <w:lang w:eastAsia="en-GB"/>
              </w:rPr>
              <w:t xml:space="preserve">Control variables </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510B" w:rsidRPr="009D35F8" w:rsidRDefault="0096510B" w:rsidP="005206BB">
            <w:pPr>
              <w:jc w:val="center"/>
              <w:rPr>
                <w:lang w:eastAsia="en-GB"/>
              </w:rPr>
            </w:pP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rPr>
                <w:lang w:eastAsia="en-GB"/>
              </w:rPr>
            </w:pPr>
            <w:r w:rsidRPr="009D35F8">
              <w:rPr>
                <w:lang w:eastAsia="en-GB"/>
              </w:rPr>
              <w:t xml:space="preserve">Plant employment </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1767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77.760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236.752</w:t>
            </w:r>
          </w:p>
        </w:tc>
      </w:tr>
      <w:tr w:rsidR="0096510B" w:rsidRPr="009D35F8" w:rsidTr="007B4694">
        <w:trPr>
          <w:trHeight w:hRule="exact" w:val="301"/>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rPr>
                <w:lang w:eastAsia="en-GB"/>
              </w:rPr>
            </w:pPr>
            <w:r w:rsidRPr="009D35F8">
              <w:rPr>
                <w:lang w:eastAsia="en-GB"/>
              </w:rPr>
              <w:t>Plant vintage (years)</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1794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32.566</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10B" w:rsidRPr="009D35F8" w:rsidRDefault="0096510B" w:rsidP="005206BB">
            <w:pPr>
              <w:jc w:val="right"/>
            </w:pPr>
            <w:r w:rsidRPr="009D35F8">
              <w:t>30.037</w:t>
            </w:r>
          </w:p>
        </w:tc>
      </w:tr>
    </w:tbl>
    <w:p w:rsidR="00882885" w:rsidRDefault="00882885" w:rsidP="0096510B">
      <w:pPr>
        <w:rPr>
          <w:b/>
        </w:rPr>
      </w:pPr>
    </w:p>
    <w:p w:rsidR="0096510B" w:rsidRPr="009D35F8" w:rsidRDefault="0096510B" w:rsidP="007B4694">
      <w:pPr>
        <w:jc w:val="both"/>
      </w:pPr>
      <w:r w:rsidRPr="009D35F8">
        <w:rPr>
          <w:b/>
        </w:rPr>
        <w:t>Source:</w:t>
      </w:r>
      <w:r w:rsidRPr="009D35F8">
        <w:t xml:space="preserve"> Irish Innovation Panel, waves 2-7 of the survey are included. Observations are weighted to give representative results. Observations are included only where a lagged observation is available to allow estimation of </w:t>
      </w:r>
      <w:r>
        <w:t xml:space="preserve">legacy </w:t>
      </w:r>
      <w:r w:rsidRPr="009D35F8">
        <w:t>effects.</w:t>
      </w:r>
    </w:p>
    <w:p w:rsidR="0096510B" w:rsidRPr="009D35F8" w:rsidRDefault="0096510B" w:rsidP="0096510B">
      <w:pPr>
        <w:rPr>
          <w:b/>
          <w:sz w:val="20"/>
          <w:szCs w:val="20"/>
          <w:lang w:eastAsia="en-GB"/>
        </w:rPr>
      </w:pPr>
      <w:r w:rsidRPr="009D35F8">
        <w:rPr>
          <w:b/>
          <w:sz w:val="20"/>
          <w:szCs w:val="20"/>
          <w:lang w:eastAsia="en-GB"/>
        </w:rPr>
        <w:br w:type="page"/>
      </w:r>
    </w:p>
    <w:p w:rsidR="0096510B" w:rsidRDefault="0096510B" w:rsidP="007B4694">
      <w:pPr>
        <w:ind w:left="-90"/>
        <w:jc w:val="center"/>
        <w:rPr>
          <w:rFonts w:ascii="Arial" w:hAnsi="Arial" w:cs="Arial"/>
          <w:b/>
          <w:sz w:val="22"/>
          <w:szCs w:val="22"/>
        </w:rPr>
      </w:pPr>
      <w:r w:rsidRPr="00633B34">
        <w:rPr>
          <w:rFonts w:ascii="Arial" w:hAnsi="Arial" w:cs="Arial"/>
          <w:b/>
          <w:sz w:val="22"/>
          <w:szCs w:val="22"/>
        </w:rPr>
        <w:lastRenderedPageBreak/>
        <w:t>Table 2: Tobit models of percentage of innovative sales: baseline models</w:t>
      </w:r>
    </w:p>
    <w:p w:rsidR="00633B34" w:rsidRPr="00633B34" w:rsidRDefault="00633B34" w:rsidP="0096510B">
      <w:pPr>
        <w:jc w:val="center"/>
        <w:rPr>
          <w:rFonts w:ascii="Arial" w:hAnsi="Arial" w:cs="Arial"/>
          <w:b/>
          <w:sz w:val="22"/>
          <w:szCs w:val="22"/>
        </w:rPr>
      </w:pPr>
    </w:p>
    <w:tbl>
      <w:tblPr>
        <w:tblW w:w="7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896"/>
        <w:gridCol w:w="2126"/>
      </w:tblGrid>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center"/>
              <w:rPr>
                <w:color w:val="000000"/>
                <w:lang w:eastAsia="en-GB"/>
              </w:rPr>
            </w:pPr>
            <w:r w:rsidRPr="00342667">
              <w:rPr>
                <w:color w:val="000000"/>
                <w:lang w:eastAsia="en-GB"/>
              </w:rPr>
              <w:t xml:space="preserve">New product sales </w:t>
            </w:r>
          </w:p>
        </w:tc>
        <w:tc>
          <w:tcPr>
            <w:tcW w:w="2126" w:type="dxa"/>
            <w:shd w:val="clear" w:color="auto" w:fill="auto"/>
            <w:noWrap/>
            <w:vAlign w:val="bottom"/>
            <w:hideMark/>
          </w:tcPr>
          <w:p w:rsidR="0096510B" w:rsidRPr="00342667" w:rsidRDefault="0096510B" w:rsidP="007B4694">
            <w:pPr>
              <w:jc w:val="center"/>
              <w:rPr>
                <w:color w:val="000000"/>
                <w:lang w:eastAsia="en-GB"/>
              </w:rPr>
            </w:pPr>
            <w:r w:rsidRPr="00342667">
              <w:rPr>
                <w:color w:val="000000"/>
                <w:lang w:eastAsia="en-GB"/>
              </w:rPr>
              <w:t>New and improved product sales</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tcPr>
          <w:p w:rsidR="0096510B" w:rsidRPr="00342667" w:rsidRDefault="0096510B" w:rsidP="005206BB">
            <w:pPr>
              <w:jc w:val="right"/>
              <w:rPr>
                <w:color w:val="000000"/>
                <w:lang w:eastAsia="en-GB"/>
              </w:rPr>
            </w:pPr>
          </w:p>
        </w:tc>
        <w:tc>
          <w:tcPr>
            <w:tcW w:w="2126" w:type="dxa"/>
            <w:shd w:val="clear" w:color="auto" w:fill="auto"/>
            <w:noWrap/>
            <w:vAlign w:val="bottom"/>
          </w:tcPr>
          <w:p w:rsidR="0096510B" w:rsidRPr="00342667" w:rsidRDefault="0096510B" w:rsidP="005206BB">
            <w:pPr>
              <w:jc w:val="right"/>
              <w:rPr>
                <w:color w:val="000000"/>
                <w:lang w:eastAsia="en-GB"/>
              </w:rPr>
            </w:pP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p>
        </w:tc>
        <w:tc>
          <w:tcPr>
            <w:tcW w:w="2126" w:type="dxa"/>
            <w:shd w:val="clear" w:color="auto" w:fill="auto"/>
            <w:noWrap/>
            <w:vAlign w:val="bottom"/>
            <w:hideMark/>
          </w:tcPr>
          <w:p w:rsidR="0096510B" w:rsidRPr="00342667" w:rsidRDefault="0096510B" w:rsidP="005206BB">
            <w:pPr>
              <w:jc w:val="right"/>
              <w:rPr>
                <w:color w:val="000000"/>
                <w:lang w:eastAsia="en-GB"/>
              </w:rPr>
            </w:pP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Public support for NPD</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4.878**</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6.466**</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1.928)</w:t>
            </w:r>
          </w:p>
        </w:tc>
        <w:tc>
          <w:tcPr>
            <w:tcW w:w="212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2.667)</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New product sales (-1)</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0.339***</w:t>
            </w:r>
          </w:p>
        </w:tc>
        <w:tc>
          <w:tcPr>
            <w:tcW w:w="2126" w:type="dxa"/>
            <w:shd w:val="clear" w:color="auto" w:fill="auto"/>
            <w:noWrap/>
            <w:vAlign w:val="bottom"/>
            <w:hideMark/>
          </w:tcPr>
          <w:p w:rsidR="0096510B" w:rsidRPr="00342667" w:rsidRDefault="0096510B" w:rsidP="005206BB">
            <w:pPr>
              <w:jc w:val="right"/>
              <w:rPr>
                <w:color w:val="000000"/>
                <w:lang w:eastAsia="en-GB"/>
              </w:rPr>
            </w:pP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0.041)</w:t>
            </w:r>
          </w:p>
        </w:tc>
        <w:tc>
          <w:tcPr>
            <w:tcW w:w="2126" w:type="dxa"/>
            <w:shd w:val="clear" w:color="auto" w:fill="auto"/>
            <w:noWrap/>
            <w:vAlign w:val="bottom"/>
            <w:hideMark/>
          </w:tcPr>
          <w:p w:rsidR="0096510B" w:rsidRPr="00342667" w:rsidRDefault="0096510B" w:rsidP="005206BB">
            <w:pPr>
              <w:jc w:val="right"/>
              <w:rPr>
                <w:color w:val="000000"/>
                <w:lang w:eastAsia="en-GB"/>
              </w:rPr>
            </w:pPr>
          </w:p>
        </w:tc>
      </w:tr>
      <w:tr w:rsidR="0096510B" w:rsidRPr="00342667" w:rsidTr="007B4694">
        <w:trPr>
          <w:trHeight w:val="300"/>
        </w:trPr>
        <w:tc>
          <w:tcPr>
            <w:tcW w:w="3600" w:type="dxa"/>
            <w:shd w:val="clear" w:color="auto" w:fill="auto"/>
            <w:noWrap/>
            <w:vAlign w:val="center"/>
          </w:tcPr>
          <w:p w:rsidR="0096510B" w:rsidRPr="00342667" w:rsidRDefault="0096510B" w:rsidP="005206BB">
            <w:pPr>
              <w:rPr>
                <w:color w:val="000000"/>
                <w:lang w:eastAsia="en-GB"/>
              </w:rPr>
            </w:pPr>
            <w:r>
              <w:rPr>
                <w:color w:val="000000"/>
                <w:lang w:eastAsia="en-GB"/>
              </w:rPr>
              <w:t>New and improved  sales (-1)</w:t>
            </w:r>
          </w:p>
        </w:tc>
        <w:tc>
          <w:tcPr>
            <w:tcW w:w="1896" w:type="dxa"/>
            <w:shd w:val="clear" w:color="auto" w:fill="auto"/>
            <w:noWrap/>
            <w:vAlign w:val="bottom"/>
          </w:tcPr>
          <w:p w:rsidR="0096510B" w:rsidRPr="00342667" w:rsidRDefault="0096510B" w:rsidP="005206BB">
            <w:pPr>
              <w:jc w:val="right"/>
              <w:rPr>
                <w:color w:val="000000"/>
                <w:lang w:eastAsia="en-GB"/>
              </w:rPr>
            </w:pPr>
          </w:p>
        </w:tc>
        <w:tc>
          <w:tcPr>
            <w:tcW w:w="2126" w:type="dxa"/>
            <w:shd w:val="clear" w:color="auto" w:fill="auto"/>
            <w:noWrap/>
            <w:vAlign w:val="bottom"/>
          </w:tcPr>
          <w:p w:rsidR="0096510B" w:rsidRPr="00342667" w:rsidRDefault="0096510B" w:rsidP="005206BB">
            <w:pPr>
              <w:jc w:val="right"/>
              <w:rPr>
                <w:color w:val="000000"/>
                <w:lang w:eastAsia="en-GB"/>
              </w:rPr>
            </w:pPr>
            <w:r w:rsidRPr="00342667">
              <w:rPr>
                <w:color w:val="000000"/>
                <w:lang w:eastAsia="en-GB"/>
              </w:rPr>
              <w:t>0.317***</w:t>
            </w:r>
          </w:p>
        </w:tc>
      </w:tr>
      <w:tr w:rsidR="0096510B" w:rsidRPr="00342667" w:rsidTr="007B4694">
        <w:trPr>
          <w:trHeight w:val="300"/>
        </w:trPr>
        <w:tc>
          <w:tcPr>
            <w:tcW w:w="3600" w:type="dxa"/>
            <w:shd w:val="clear" w:color="auto" w:fill="auto"/>
            <w:noWrap/>
            <w:vAlign w:val="center"/>
          </w:tcPr>
          <w:p w:rsidR="0096510B" w:rsidRPr="00342667" w:rsidRDefault="0096510B" w:rsidP="005206BB">
            <w:pPr>
              <w:rPr>
                <w:color w:val="000000"/>
                <w:lang w:eastAsia="en-GB"/>
              </w:rPr>
            </w:pPr>
          </w:p>
        </w:tc>
        <w:tc>
          <w:tcPr>
            <w:tcW w:w="1896" w:type="dxa"/>
            <w:shd w:val="clear" w:color="auto" w:fill="auto"/>
            <w:noWrap/>
            <w:vAlign w:val="bottom"/>
          </w:tcPr>
          <w:p w:rsidR="0096510B" w:rsidRPr="00342667" w:rsidRDefault="0096510B" w:rsidP="005206BB">
            <w:pPr>
              <w:jc w:val="right"/>
              <w:rPr>
                <w:color w:val="000000"/>
                <w:lang w:eastAsia="en-GB"/>
              </w:rPr>
            </w:pPr>
          </w:p>
        </w:tc>
        <w:tc>
          <w:tcPr>
            <w:tcW w:w="2126" w:type="dxa"/>
            <w:shd w:val="clear" w:color="auto" w:fill="auto"/>
            <w:noWrap/>
            <w:vAlign w:val="bottom"/>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0.043)</w:t>
            </w:r>
          </w:p>
        </w:tc>
      </w:tr>
      <w:tr w:rsidR="0096510B" w:rsidRPr="00342667" w:rsidTr="007B4694">
        <w:trPr>
          <w:trHeight w:val="300"/>
        </w:trPr>
        <w:tc>
          <w:tcPr>
            <w:tcW w:w="3600" w:type="dxa"/>
            <w:shd w:val="clear" w:color="auto" w:fill="auto"/>
            <w:noWrap/>
            <w:vAlign w:val="center"/>
          </w:tcPr>
          <w:p w:rsidR="0096510B" w:rsidRPr="00342667" w:rsidRDefault="0096510B" w:rsidP="005206BB">
            <w:pPr>
              <w:rPr>
                <w:color w:val="000000"/>
                <w:lang w:eastAsia="en-GB"/>
              </w:rPr>
            </w:pPr>
            <w:r>
              <w:rPr>
                <w:color w:val="000000"/>
                <w:lang w:eastAsia="en-GB"/>
              </w:rPr>
              <w:t>In-house R&amp;D</w:t>
            </w:r>
          </w:p>
        </w:tc>
        <w:tc>
          <w:tcPr>
            <w:tcW w:w="1896" w:type="dxa"/>
            <w:shd w:val="clear" w:color="auto" w:fill="auto"/>
            <w:noWrap/>
            <w:vAlign w:val="bottom"/>
          </w:tcPr>
          <w:p w:rsidR="0096510B" w:rsidRPr="00342667" w:rsidRDefault="0096510B" w:rsidP="005206BB">
            <w:pPr>
              <w:jc w:val="right"/>
              <w:rPr>
                <w:color w:val="000000"/>
                <w:lang w:eastAsia="en-GB"/>
              </w:rPr>
            </w:pPr>
            <w:r w:rsidRPr="00342667">
              <w:rPr>
                <w:color w:val="000000"/>
                <w:lang w:eastAsia="en-GB"/>
              </w:rPr>
              <w:t>14.731***</w:t>
            </w:r>
          </w:p>
        </w:tc>
        <w:tc>
          <w:tcPr>
            <w:tcW w:w="2126" w:type="dxa"/>
            <w:shd w:val="clear" w:color="auto" w:fill="auto"/>
            <w:noWrap/>
            <w:vAlign w:val="bottom"/>
          </w:tcPr>
          <w:p w:rsidR="0096510B" w:rsidRPr="00342667" w:rsidRDefault="0096510B" w:rsidP="005206BB">
            <w:pPr>
              <w:jc w:val="right"/>
              <w:rPr>
                <w:color w:val="000000"/>
                <w:lang w:eastAsia="en-GB"/>
              </w:rPr>
            </w:pPr>
            <w:r w:rsidRPr="00342667">
              <w:rPr>
                <w:color w:val="000000"/>
                <w:lang w:eastAsia="en-GB"/>
              </w:rPr>
              <w:t>24.891***</w:t>
            </w:r>
          </w:p>
        </w:tc>
      </w:tr>
      <w:tr w:rsidR="0096510B" w:rsidRPr="00342667" w:rsidTr="007B4694">
        <w:trPr>
          <w:trHeight w:val="300"/>
        </w:trPr>
        <w:tc>
          <w:tcPr>
            <w:tcW w:w="3600" w:type="dxa"/>
            <w:shd w:val="clear" w:color="auto" w:fill="auto"/>
            <w:noWrap/>
            <w:vAlign w:val="center"/>
          </w:tcPr>
          <w:p w:rsidR="0096510B" w:rsidRPr="00342667" w:rsidRDefault="0096510B" w:rsidP="005206BB">
            <w:pPr>
              <w:rPr>
                <w:color w:val="000000"/>
                <w:lang w:eastAsia="en-GB"/>
              </w:rPr>
            </w:pPr>
          </w:p>
        </w:tc>
        <w:tc>
          <w:tcPr>
            <w:tcW w:w="1896" w:type="dxa"/>
            <w:shd w:val="clear" w:color="auto" w:fill="auto"/>
            <w:noWrap/>
            <w:vAlign w:val="bottom"/>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1.776)</w:t>
            </w:r>
          </w:p>
        </w:tc>
        <w:tc>
          <w:tcPr>
            <w:tcW w:w="2126" w:type="dxa"/>
            <w:shd w:val="clear" w:color="auto" w:fill="auto"/>
            <w:noWrap/>
            <w:vAlign w:val="bottom"/>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2.462)</w:t>
            </w:r>
          </w:p>
        </w:tc>
      </w:tr>
      <w:tr w:rsidR="0096510B" w:rsidRPr="00342667" w:rsidTr="007B4694">
        <w:trPr>
          <w:trHeight w:val="300"/>
        </w:trPr>
        <w:tc>
          <w:tcPr>
            <w:tcW w:w="3600" w:type="dxa"/>
            <w:shd w:val="clear" w:color="auto" w:fill="auto"/>
            <w:noWrap/>
            <w:vAlign w:val="center"/>
          </w:tcPr>
          <w:p w:rsidR="0096510B" w:rsidRPr="00342667" w:rsidRDefault="0096510B" w:rsidP="005206BB">
            <w:pPr>
              <w:rPr>
                <w:color w:val="000000"/>
                <w:lang w:eastAsia="en-GB"/>
              </w:rPr>
            </w:pPr>
            <w:r>
              <w:rPr>
                <w:color w:val="000000"/>
                <w:lang w:eastAsia="en-GB"/>
              </w:rPr>
              <w:t>Workforce with degree</w:t>
            </w:r>
          </w:p>
        </w:tc>
        <w:tc>
          <w:tcPr>
            <w:tcW w:w="1896" w:type="dxa"/>
            <w:shd w:val="clear" w:color="auto" w:fill="auto"/>
            <w:noWrap/>
            <w:vAlign w:val="bottom"/>
          </w:tcPr>
          <w:p w:rsidR="0096510B" w:rsidRPr="00342667" w:rsidRDefault="0096510B" w:rsidP="005206BB">
            <w:pPr>
              <w:jc w:val="right"/>
              <w:rPr>
                <w:color w:val="000000"/>
                <w:lang w:eastAsia="en-GB"/>
              </w:rPr>
            </w:pPr>
            <w:r w:rsidRPr="00342667">
              <w:rPr>
                <w:color w:val="000000"/>
                <w:lang w:eastAsia="en-GB"/>
              </w:rPr>
              <w:t>0.061</w:t>
            </w:r>
          </w:p>
        </w:tc>
        <w:tc>
          <w:tcPr>
            <w:tcW w:w="2126" w:type="dxa"/>
            <w:shd w:val="clear" w:color="auto" w:fill="auto"/>
            <w:noWrap/>
            <w:vAlign w:val="bottom"/>
          </w:tcPr>
          <w:p w:rsidR="0096510B" w:rsidRPr="00342667" w:rsidRDefault="0096510B" w:rsidP="005206BB">
            <w:pPr>
              <w:jc w:val="right"/>
              <w:rPr>
                <w:color w:val="000000"/>
                <w:lang w:eastAsia="en-GB"/>
              </w:rPr>
            </w:pPr>
            <w:r w:rsidRPr="00342667">
              <w:rPr>
                <w:color w:val="000000"/>
                <w:lang w:eastAsia="en-GB"/>
              </w:rPr>
              <w:t>0.057</w:t>
            </w:r>
          </w:p>
        </w:tc>
      </w:tr>
      <w:tr w:rsidR="0096510B" w:rsidRPr="00342667" w:rsidTr="007B4694">
        <w:trPr>
          <w:trHeight w:val="300"/>
        </w:trPr>
        <w:tc>
          <w:tcPr>
            <w:tcW w:w="3600" w:type="dxa"/>
            <w:shd w:val="clear" w:color="auto" w:fill="auto"/>
            <w:noWrap/>
            <w:vAlign w:val="center"/>
          </w:tcPr>
          <w:p w:rsidR="0096510B" w:rsidRPr="00342667" w:rsidRDefault="0096510B" w:rsidP="005206BB">
            <w:pPr>
              <w:rPr>
                <w:color w:val="000000"/>
                <w:lang w:eastAsia="en-GB"/>
              </w:rPr>
            </w:pPr>
          </w:p>
        </w:tc>
        <w:tc>
          <w:tcPr>
            <w:tcW w:w="1896" w:type="dxa"/>
            <w:shd w:val="clear" w:color="auto" w:fill="auto"/>
            <w:noWrap/>
            <w:vAlign w:val="bottom"/>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0.064)</w:t>
            </w:r>
          </w:p>
        </w:tc>
        <w:tc>
          <w:tcPr>
            <w:tcW w:w="2126" w:type="dxa"/>
            <w:shd w:val="clear" w:color="auto" w:fill="auto"/>
            <w:noWrap/>
            <w:vAlign w:val="bottom"/>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0.089)</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Innovation barrier: Technical skills</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-3.751*</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-4.679*</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2.024)</w:t>
            </w:r>
          </w:p>
        </w:tc>
        <w:tc>
          <w:tcPr>
            <w:tcW w:w="212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2.819)</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Breadth of search</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3.025***</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6.439***</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1.087)</w:t>
            </w:r>
          </w:p>
        </w:tc>
        <w:tc>
          <w:tcPr>
            <w:tcW w:w="212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1.515)</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Breadth of search squared</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-0.16</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-0.528**</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0.179)</w:t>
            </w:r>
          </w:p>
        </w:tc>
        <w:tc>
          <w:tcPr>
            <w:tcW w:w="212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0.249)</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Innovation barrier: Lack tech. info.</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-1.835</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-4.812</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2.219)</w:t>
            </w:r>
          </w:p>
        </w:tc>
        <w:tc>
          <w:tcPr>
            <w:tcW w:w="212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3.086)</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Innovation barrier: Regulatory factors</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-1.662</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0.086</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1.985)</w:t>
            </w:r>
          </w:p>
        </w:tc>
        <w:tc>
          <w:tcPr>
            <w:tcW w:w="212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2.745)</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Innovation barrier: Lack finance</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1.578</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1.621</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1.743)</w:t>
            </w:r>
          </w:p>
        </w:tc>
        <w:tc>
          <w:tcPr>
            <w:tcW w:w="212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2.409)</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Employment (log)</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0.73</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2.382**</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0.839)</w:t>
            </w:r>
          </w:p>
        </w:tc>
        <w:tc>
          <w:tcPr>
            <w:tcW w:w="212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1.154)</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Plant vintage</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-0.071***</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-0.146***</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p>
        </w:tc>
        <w:tc>
          <w:tcPr>
            <w:tcW w:w="189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0.027)</w:t>
            </w:r>
          </w:p>
        </w:tc>
        <w:tc>
          <w:tcPr>
            <w:tcW w:w="2126" w:type="dxa"/>
            <w:shd w:val="clear" w:color="auto" w:fill="auto"/>
            <w:noWrap/>
            <w:vAlign w:val="bottom"/>
            <w:hideMark/>
          </w:tcPr>
          <w:p w:rsidR="0096510B" w:rsidRPr="00342667" w:rsidRDefault="0096510B" w:rsidP="005206BB">
            <w:pPr>
              <w:jc w:val="right"/>
              <w:rPr>
                <w:color w:val="000000"/>
                <w:lang w:eastAsia="en-GB"/>
              </w:rPr>
            </w:pPr>
            <w:r>
              <w:rPr>
                <w:color w:val="000000"/>
                <w:lang w:eastAsia="en-GB"/>
              </w:rPr>
              <w:t>(</w:t>
            </w:r>
            <w:r w:rsidRPr="00342667">
              <w:rPr>
                <w:color w:val="000000"/>
                <w:lang w:eastAsia="en-GB"/>
              </w:rPr>
              <w:t>0.037)</w:t>
            </w:r>
          </w:p>
        </w:tc>
      </w:tr>
      <w:tr w:rsidR="0096510B" w:rsidRPr="00342667" w:rsidTr="007B4694">
        <w:trPr>
          <w:trHeight w:val="300"/>
        </w:trPr>
        <w:tc>
          <w:tcPr>
            <w:tcW w:w="3600" w:type="dxa"/>
            <w:shd w:val="clear" w:color="auto" w:fill="auto"/>
            <w:noWrap/>
            <w:vAlign w:val="center"/>
          </w:tcPr>
          <w:p w:rsidR="0096510B" w:rsidRPr="00342667" w:rsidRDefault="0096510B" w:rsidP="005206BB">
            <w:pPr>
              <w:rPr>
                <w:color w:val="000000"/>
                <w:lang w:eastAsia="en-GB"/>
              </w:rPr>
            </w:pPr>
          </w:p>
        </w:tc>
        <w:tc>
          <w:tcPr>
            <w:tcW w:w="1896" w:type="dxa"/>
            <w:shd w:val="clear" w:color="auto" w:fill="auto"/>
            <w:noWrap/>
            <w:vAlign w:val="bottom"/>
          </w:tcPr>
          <w:p w:rsidR="0096510B" w:rsidRPr="00342667" w:rsidRDefault="0096510B" w:rsidP="005206BB">
            <w:pPr>
              <w:jc w:val="right"/>
              <w:rPr>
                <w:color w:val="000000"/>
                <w:lang w:eastAsia="en-GB"/>
              </w:rPr>
            </w:pPr>
          </w:p>
        </w:tc>
        <w:tc>
          <w:tcPr>
            <w:tcW w:w="2126" w:type="dxa"/>
            <w:shd w:val="clear" w:color="auto" w:fill="auto"/>
            <w:noWrap/>
            <w:vAlign w:val="bottom"/>
          </w:tcPr>
          <w:p w:rsidR="0096510B" w:rsidRPr="00342667" w:rsidRDefault="0096510B" w:rsidP="005206BB">
            <w:pPr>
              <w:jc w:val="right"/>
              <w:rPr>
                <w:color w:val="000000"/>
                <w:lang w:eastAsia="en-GB"/>
              </w:rPr>
            </w:pPr>
          </w:p>
        </w:tc>
      </w:tr>
      <w:tr w:rsidR="0096510B" w:rsidRPr="00342667" w:rsidTr="007B4694">
        <w:trPr>
          <w:trHeight w:val="300"/>
        </w:trPr>
        <w:tc>
          <w:tcPr>
            <w:tcW w:w="3600" w:type="dxa"/>
            <w:shd w:val="clear" w:color="auto" w:fill="auto"/>
            <w:noWrap/>
            <w:vAlign w:val="center"/>
          </w:tcPr>
          <w:p w:rsidR="0096510B" w:rsidRPr="00342667" w:rsidRDefault="0096510B" w:rsidP="005206BB">
            <w:pPr>
              <w:rPr>
                <w:color w:val="000000"/>
                <w:lang w:eastAsia="en-GB"/>
              </w:rPr>
            </w:pPr>
            <w:r w:rsidRPr="00342667">
              <w:rPr>
                <w:color w:val="000000"/>
                <w:lang w:eastAsia="en-GB"/>
              </w:rPr>
              <w:t xml:space="preserve">Number </w:t>
            </w:r>
            <w:r>
              <w:rPr>
                <w:color w:val="000000"/>
                <w:lang w:eastAsia="en-GB"/>
              </w:rPr>
              <w:t xml:space="preserve"> of observations</w:t>
            </w:r>
          </w:p>
        </w:tc>
        <w:tc>
          <w:tcPr>
            <w:tcW w:w="1896" w:type="dxa"/>
            <w:shd w:val="clear" w:color="auto" w:fill="auto"/>
            <w:noWrap/>
            <w:vAlign w:val="bottom"/>
          </w:tcPr>
          <w:p w:rsidR="0096510B" w:rsidRPr="00342667" w:rsidRDefault="0096510B" w:rsidP="005206BB">
            <w:pPr>
              <w:jc w:val="right"/>
              <w:rPr>
                <w:color w:val="000000"/>
                <w:lang w:eastAsia="en-GB"/>
              </w:rPr>
            </w:pPr>
            <w:r w:rsidRPr="00342667">
              <w:rPr>
                <w:color w:val="000000"/>
                <w:lang w:eastAsia="en-GB"/>
              </w:rPr>
              <w:t>1519</w:t>
            </w:r>
          </w:p>
        </w:tc>
        <w:tc>
          <w:tcPr>
            <w:tcW w:w="2126" w:type="dxa"/>
            <w:shd w:val="clear" w:color="auto" w:fill="auto"/>
            <w:noWrap/>
            <w:vAlign w:val="bottom"/>
          </w:tcPr>
          <w:p w:rsidR="0096510B" w:rsidRPr="00342667" w:rsidRDefault="0096510B" w:rsidP="005206BB">
            <w:pPr>
              <w:jc w:val="right"/>
              <w:rPr>
                <w:color w:val="000000"/>
                <w:lang w:eastAsia="en-GB"/>
              </w:rPr>
            </w:pPr>
            <w:r w:rsidRPr="00342667">
              <w:rPr>
                <w:color w:val="000000"/>
                <w:lang w:eastAsia="en-GB"/>
              </w:rPr>
              <w:t>1513</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Equation χ</w:t>
            </w:r>
            <w:r w:rsidRPr="00342667">
              <w:rPr>
                <w:color w:val="000000"/>
                <w:vertAlign w:val="superscript"/>
                <w:lang w:eastAsia="en-GB"/>
              </w:rPr>
              <w:t>2</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439.834</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572.246</w:t>
            </w:r>
          </w:p>
        </w:tc>
      </w:tr>
      <w:tr w:rsidR="0096510B" w:rsidRPr="00342667" w:rsidTr="007B4694">
        <w:trPr>
          <w:trHeight w:val="300"/>
        </w:trPr>
        <w:tc>
          <w:tcPr>
            <w:tcW w:w="3600" w:type="dxa"/>
            <w:shd w:val="clear" w:color="auto" w:fill="auto"/>
            <w:noWrap/>
            <w:vAlign w:val="center"/>
            <w:hideMark/>
          </w:tcPr>
          <w:p w:rsidR="0096510B" w:rsidRPr="00342667" w:rsidRDefault="0096510B" w:rsidP="005206BB">
            <w:pPr>
              <w:rPr>
                <w:color w:val="000000"/>
                <w:lang w:eastAsia="en-GB"/>
              </w:rPr>
            </w:pPr>
            <w:r>
              <w:rPr>
                <w:color w:val="000000"/>
                <w:lang w:eastAsia="en-GB"/>
              </w:rPr>
              <w:t>BIC</w:t>
            </w:r>
          </w:p>
        </w:tc>
        <w:tc>
          <w:tcPr>
            <w:tcW w:w="189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8622.955</w:t>
            </w:r>
          </w:p>
        </w:tc>
        <w:tc>
          <w:tcPr>
            <w:tcW w:w="2126" w:type="dxa"/>
            <w:shd w:val="clear" w:color="auto" w:fill="auto"/>
            <w:noWrap/>
            <w:vAlign w:val="bottom"/>
            <w:hideMark/>
          </w:tcPr>
          <w:p w:rsidR="0096510B" w:rsidRPr="00342667" w:rsidRDefault="0096510B" w:rsidP="005206BB">
            <w:pPr>
              <w:jc w:val="right"/>
              <w:rPr>
                <w:color w:val="000000"/>
                <w:lang w:eastAsia="en-GB"/>
              </w:rPr>
            </w:pPr>
            <w:r w:rsidRPr="00342667">
              <w:rPr>
                <w:color w:val="000000"/>
                <w:lang w:eastAsia="en-GB"/>
              </w:rPr>
              <w:t>9374.657</w:t>
            </w:r>
          </w:p>
        </w:tc>
      </w:tr>
    </w:tbl>
    <w:p w:rsidR="0096510B" w:rsidRPr="00E936AC" w:rsidRDefault="0096510B" w:rsidP="007B4694">
      <w:pPr>
        <w:jc w:val="both"/>
      </w:pPr>
      <w:r w:rsidRPr="00E936AC">
        <w:rPr>
          <w:b/>
        </w:rPr>
        <w:t>Source:</w:t>
      </w:r>
      <w:r w:rsidRPr="00E936AC">
        <w:t xml:space="preserve"> Irish Innovation Panel, waves 2-7 of the survey are included. Observations are weighted to give representative results.</w:t>
      </w:r>
      <w:r>
        <w:t xml:space="preserve"> Observations are included only where a lagged observation is available to allow estimation of legacy effects. Coefficients reported are marginal effects. </w:t>
      </w:r>
      <w:r w:rsidRPr="00E936AC">
        <w:rPr>
          <w:sz w:val="20"/>
          <w:szCs w:val="20"/>
          <w:vertAlign w:val="superscript"/>
        </w:rPr>
        <w:t>*</w:t>
      </w:r>
      <w:r w:rsidRPr="00E936AC">
        <w:rPr>
          <w:sz w:val="20"/>
          <w:szCs w:val="20"/>
        </w:rPr>
        <w:t xml:space="preserve"> </w:t>
      </w:r>
      <w:r w:rsidRPr="00E936AC">
        <w:rPr>
          <w:i/>
          <w:iCs/>
          <w:sz w:val="20"/>
          <w:szCs w:val="20"/>
        </w:rPr>
        <w:t>p</w:t>
      </w:r>
      <w:r w:rsidRPr="00E936AC">
        <w:rPr>
          <w:sz w:val="20"/>
          <w:szCs w:val="20"/>
        </w:rPr>
        <w:t xml:space="preserve"> &lt; 0.1, </w:t>
      </w:r>
      <w:r w:rsidRPr="00E936AC">
        <w:rPr>
          <w:sz w:val="20"/>
          <w:szCs w:val="20"/>
          <w:vertAlign w:val="superscript"/>
        </w:rPr>
        <w:t>**</w:t>
      </w:r>
      <w:r w:rsidRPr="00E936AC">
        <w:rPr>
          <w:sz w:val="20"/>
          <w:szCs w:val="20"/>
        </w:rPr>
        <w:t xml:space="preserve"> </w:t>
      </w:r>
      <w:r w:rsidRPr="00E936AC">
        <w:rPr>
          <w:i/>
          <w:iCs/>
          <w:sz w:val="20"/>
          <w:szCs w:val="20"/>
        </w:rPr>
        <w:t>p</w:t>
      </w:r>
      <w:r w:rsidRPr="00E936AC">
        <w:rPr>
          <w:sz w:val="20"/>
          <w:szCs w:val="20"/>
        </w:rPr>
        <w:t xml:space="preserve"> &lt; 0.05, </w:t>
      </w:r>
      <w:r w:rsidRPr="00E936AC">
        <w:rPr>
          <w:sz w:val="20"/>
          <w:szCs w:val="20"/>
          <w:vertAlign w:val="superscript"/>
        </w:rPr>
        <w:t>***</w:t>
      </w:r>
      <w:r w:rsidRPr="00E936AC">
        <w:rPr>
          <w:sz w:val="20"/>
          <w:szCs w:val="20"/>
        </w:rPr>
        <w:t xml:space="preserve"> </w:t>
      </w:r>
      <w:r w:rsidRPr="00E936AC">
        <w:rPr>
          <w:i/>
          <w:iCs/>
          <w:sz w:val="20"/>
          <w:szCs w:val="20"/>
        </w:rPr>
        <w:t>p</w:t>
      </w:r>
      <w:r w:rsidRPr="00E936AC">
        <w:rPr>
          <w:sz w:val="20"/>
          <w:szCs w:val="20"/>
        </w:rPr>
        <w:t xml:space="preserve"> &lt; 0.01. All models include a set of (10) sectoral and wave dummies (not reported).  </w:t>
      </w:r>
    </w:p>
    <w:p w:rsidR="0096510B" w:rsidRDefault="0096510B" w:rsidP="0096510B"/>
    <w:p w:rsidR="0096510B" w:rsidRDefault="0096510B" w:rsidP="00882885">
      <w:pPr>
        <w:ind w:left="-426" w:right="-873"/>
        <w:rPr>
          <w:rFonts w:ascii="Arial" w:hAnsi="Arial" w:cs="Arial"/>
          <w:b/>
          <w:sz w:val="22"/>
          <w:szCs w:val="22"/>
        </w:rPr>
      </w:pPr>
      <w:r>
        <w:br w:type="page"/>
      </w:r>
      <w:r w:rsidRPr="00633B34">
        <w:rPr>
          <w:rFonts w:ascii="Arial" w:hAnsi="Arial" w:cs="Arial"/>
          <w:b/>
          <w:sz w:val="22"/>
          <w:szCs w:val="22"/>
        </w:rPr>
        <w:lastRenderedPageBreak/>
        <w:t>Table 3: Estimating additionality effects on new product sales from NPD support</w:t>
      </w:r>
    </w:p>
    <w:p w:rsidR="00633B34" w:rsidRPr="00633B34" w:rsidRDefault="00633B34" w:rsidP="00633B34"/>
    <w:tbl>
      <w:tblPr>
        <w:tblW w:w="89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9"/>
        <w:gridCol w:w="1077"/>
        <w:gridCol w:w="1077"/>
        <w:gridCol w:w="1078"/>
        <w:gridCol w:w="1077"/>
        <w:gridCol w:w="1078"/>
      </w:tblGrid>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New product sales</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New product sales</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 xml:space="preserve">New product sales </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 xml:space="preserve">New product sales </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 xml:space="preserve">New product sales </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(3)</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(5)</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In-house R&amp;D</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15.029***</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13.567***</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14.619***</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14.814***</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1.766)</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1.839)</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1.759)</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1.767)</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New product sales (-1)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0.306***</w:t>
            </w: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0.293***</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0.296***</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0.296***</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0.041)</w:t>
            </w: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0.040)</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0.041)</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Innovation barrier: Technical skills</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-3.429*</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-3.565*</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-3.475*</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-3.632*</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2.006)</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2.001)</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1.995)</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2.001)</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Workforce with degree</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0.054</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0.069</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0.072</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0.071</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0.064)</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0.063)</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0.063)</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0.063)</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Breadth of search</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3.040***</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3.072***</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2.757**</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2.920***</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1.080)</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1.075)</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1.078)</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1.077)</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Breadth of search squared</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-0.184</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-0.175</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-0.154</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-0.155</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0.178)</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0.177)</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0.177)</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0.177)</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Innovation barrier: Lack tech. info.</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-1.522</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-1.565</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-1.141</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-1.199</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2.198)</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2.193)</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2.191)</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2.197)</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Innovation barrier: Regulatory factors</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-2.364</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-2.564</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-2.285</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-2.094</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1.972)</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1.972)</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1.963)</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1.967)</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Innovation barrier: Lack finance</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1.958</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1.796</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2.05</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1.853</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1.733)</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1.729)</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1.729)</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1.722)</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Employment (log)</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0.45</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0.814</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0.484</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0.776</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0.796</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0.850)</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0.833)</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0.848)</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0.830)</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0.835)</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Plant vintage</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-0.065**</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-0.071***</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-0.065**</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-0.070***</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-0.073***</w:t>
            </w:r>
          </w:p>
        </w:tc>
      </w:tr>
      <w:tr w:rsidR="0096510B" w:rsidRPr="00342667" w:rsidTr="0096510B">
        <w:trPr>
          <w:trHeight w:val="300"/>
        </w:trPr>
        <w:tc>
          <w:tcPr>
            <w:tcW w:w="3559" w:type="dxa"/>
            <w:shd w:val="clear" w:color="auto" w:fill="auto"/>
            <w:noWrap/>
            <w:vAlign w:val="center"/>
            <w:hideMark/>
          </w:tcPr>
          <w:p w:rsidR="0096510B" w:rsidRPr="00CB7E02" w:rsidRDefault="0096510B" w:rsidP="005206BB">
            <w:pPr>
              <w:rPr>
                <w:color w:val="000000"/>
                <w:sz w:val="20"/>
                <w:szCs w:val="20"/>
                <w:lang w:eastAsia="en-GB"/>
              </w:rPr>
            </w:pP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0.027)</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0.027)</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0.027)</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0.027)</w:t>
            </w: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0.027)</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Public support for NPD</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3.443*</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4.393**</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3.06</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3.557*</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4.112**</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1.996)</w:t>
            </w: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1.923)</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1.965)</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1.933)</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1.927)</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In-house R&amp;D  x 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15.620***</w:t>
            </w: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2.847)</w:t>
            </w: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In-house R&amp;D x (1-PS(-1))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13.605***</w:t>
            </w: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1.887)</w:t>
            </w: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New product sales (-1) x 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0.393***</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0.063)</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New product sales (-1)x (1-PS(-1))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0.282***</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0.044)</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Pr>
                <w:color w:val="000000"/>
                <w:sz w:val="20"/>
                <w:szCs w:val="20"/>
                <w:lang w:eastAsia="en-GB"/>
              </w:rPr>
              <w:t>Inn.</w:t>
            </w:r>
            <w:r w:rsidRPr="00CB7E02">
              <w:rPr>
                <w:color w:val="000000"/>
                <w:sz w:val="20"/>
                <w:szCs w:val="20"/>
                <w:lang w:eastAsia="en-GB"/>
              </w:rPr>
              <w:t xml:space="preserve"> barrier: Technical skills x 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6.106*</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3.403)</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Pr>
                <w:color w:val="000000"/>
                <w:sz w:val="20"/>
                <w:szCs w:val="20"/>
                <w:lang w:eastAsia="en-GB"/>
              </w:rPr>
              <w:t>Inn.</w:t>
            </w:r>
            <w:r w:rsidRPr="00CB7E02">
              <w:rPr>
                <w:color w:val="000000"/>
                <w:sz w:val="20"/>
                <w:szCs w:val="20"/>
                <w:lang w:eastAsia="en-GB"/>
              </w:rPr>
              <w:t xml:space="preserve"> barrier: Technical skills x (1-PS(-1))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-5.972***</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2.140)</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Workforce with degree x 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-0.007</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0.112)</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Workforce with degree x (1-PS(-1))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0.071</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0.068)</w:t>
            </w:r>
          </w:p>
        </w:tc>
        <w:tc>
          <w:tcPr>
            <w:tcW w:w="1077"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8"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Breadth of search  x 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4.605**</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1.986)</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Breadth of search x (1-PS(-1))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2.282*</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1.193)</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Breadth of search sqr, x 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-0.523</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0.328)</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Breadth of search sqr, x (1-PS(-1))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-0.021</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0.203)</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Pr>
                <w:color w:val="000000"/>
                <w:sz w:val="20"/>
                <w:szCs w:val="20"/>
                <w:lang w:eastAsia="en-GB"/>
              </w:rPr>
              <w:t>Inn.</w:t>
            </w:r>
            <w:r w:rsidRPr="00CB7E02">
              <w:rPr>
                <w:color w:val="000000"/>
                <w:sz w:val="20"/>
                <w:szCs w:val="20"/>
                <w:lang w:eastAsia="en-GB"/>
              </w:rPr>
              <w:t xml:space="preserve"> barrier: Lack tech. info x 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9.270**</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3.769)</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w:t>
            </w:r>
            <w:r w:rsidRPr="00CB7E02">
              <w:rPr>
                <w:color w:val="000000"/>
                <w:sz w:val="20"/>
                <w:szCs w:val="20"/>
                <w:lang w:eastAsia="en-GB"/>
              </w:rPr>
              <w:t xml:space="preserve"> barrier: Lack tech. info x (1-PS(-1))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-4.258*</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2.341)</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w:t>
            </w:r>
            <w:r w:rsidRPr="00CB7E02">
              <w:rPr>
                <w:color w:val="000000"/>
                <w:sz w:val="20"/>
                <w:szCs w:val="20"/>
                <w:lang w:eastAsia="en-GB"/>
              </w:rPr>
              <w:t xml:space="preserve"> barrier: Regulatory factors x 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3.401</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3.724)</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 barrier: Reg.</w:t>
            </w:r>
            <w:r w:rsidRPr="00CB7E02">
              <w:rPr>
                <w:color w:val="000000"/>
                <w:sz w:val="20"/>
                <w:szCs w:val="20"/>
                <w:lang w:eastAsia="en-GB"/>
              </w:rPr>
              <w:t xml:space="preserve"> factors x (1-PS(-1))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-3.942*</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2.153)</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w:t>
            </w:r>
            <w:r w:rsidRPr="00CB7E02">
              <w:rPr>
                <w:color w:val="000000"/>
                <w:sz w:val="20"/>
                <w:szCs w:val="20"/>
                <w:lang w:eastAsia="en-GB"/>
              </w:rPr>
              <w:t xml:space="preserve"> barrier: Lack finance x 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3.989</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3.282)</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w:t>
            </w:r>
            <w:r w:rsidRPr="00CB7E02">
              <w:rPr>
                <w:color w:val="000000"/>
                <w:sz w:val="20"/>
                <w:szCs w:val="20"/>
                <w:lang w:eastAsia="en-GB"/>
              </w:rPr>
              <w:t xml:space="preserve"> barrier: Lack finance x (1-PS(-1))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1.448</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1.874)</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c>
          <w:tcPr>
            <w:tcW w:w="1077" w:type="dxa"/>
            <w:shd w:val="clear" w:color="auto" w:fill="auto"/>
            <w:noWrap/>
            <w:vAlign w:val="bottom"/>
          </w:tcPr>
          <w:p w:rsidR="0096510B" w:rsidRPr="00CB7E02" w:rsidRDefault="0096510B" w:rsidP="005206BB">
            <w:pPr>
              <w:jc w:val="right"/>
              <w:rPr>
                <w:color w:val="000000"/>
                <w:sz w:val="20"/>
                <w:szCs w:val="20"/>
                <w:lang w:eastAsia="en-GB"/>
              </w:rPr>
            </w:pPr>
          </w:p>
        </w:tc>
        <w:tc>
          <w:tcPr>
            <w:tcW w:w="1078"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Number  of observations</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1504</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1514</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1504</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1514</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1514</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Equation χ</w:t>
            </w:r>
            <w:r w:rsidRPr="00CB7E02">
              <w:rPr>
                <w:color w:val="000000"/>
                <w:sz w:val="20"/>
                <w:szCs w:val="20"/>
                <w:vertAlign w:val="superscript"/>
                <w:lang w:eastAsia="en-GB"/>
              </w:rPr>
              <w:t>2</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444.61</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444.203</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453.511</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458.205</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444.664</w:t>
            </w:r>
          </w:p>
        </w:tc>
      </w:tr>
      <w:tr w:rsidR="0096510B" w:rsidRPr="00342667" w:rsidTr="0096510B">
        <w:trPr>
          <w:trHeight w:val="300"/>
        </w:trPr>
        <w:tc>
          <w:tcPr>
            <w:tcW w:w="3559"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BIC</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8534.391</w:t>
            </w:r>
          </w:p>
        </w:tc>
        <w:tc>
          <w:tcPr>
            <w:tcW w:w="1077"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8598.875</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8530.567</w:t>
            </w:r>
          </w:p>
        </w:tc>
        <w:tc>
          <w:tcPr>
            <w:tcW w:w="1077"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8599.58</w:t>
            </w:r>
          </w:p>
        </w:tc>
        <w:tc>
          <w:tcPr>
            <w:tcW w:w="1078"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8601.906</w:t>
            </w:r>
          </w:p>
        </w:tc>
      </w:tr>
    </w:tbl>
    <w:p w:rsidR="0096510B" w:rsidRPr="00E936AC" w:rsidRDefault="0096510B" w:rsidP="00742703">
      <w:pPr>
        <w:jc w:val="both"/>
      </w:pPr>
      <w:r w:rsidRPr="00E936AC">
        <w:rPr>
          <w:b/>
        </w:rPr>
        <w:t>Source:</w:t>
      </w:r>
      <w:r w:rsidRPr="00E936AC">
        <w:t xml:space="preserve"> Irish Innovation Panel, waves 2-7 of the survey are included. Observations are weighted to give representative results.</w:t>
      </w:r>
      <w:r>
        <w:t xml:space="preserve"> Observations are included in the tobit models only where a lagged observation is available to allow estimation of legacy effects. Coefficients reported are marginal effects. </w:t>
      </w:r>
      <w:r w:rsidRPr="00E936AC">
        <w:rPr>
          <w:sz w:val="20"/>
          <w:szCs w:val="20"/>
          <w:vertAlign w:val="superscript"/>
        </w:rPr>
        <w:t>*</w:t>
      </w:r>
      <w:r w:rsidRPr="00E936AC">
        <w:rPr>
          <w:sz w:val="20"/>
          <w:szCs w:val="20"/>
        </w:rPr>
        <w:t xml:space="preserve"> </w:t>
      </w:r>
      <w:r w:rsidRPr="00E936AC">
        <w:rPr>
          <w:i/>
          <w:iCs/>
          <w:sz w:val="20"/>
          <w:szCs w:val="20"/>
        </w:rPr>
        <w:t>p</w:t>
      </w:r>
      <w:r w:rsidRPr="00E936AC">
        <w:rPr>
          <w:sz w:val="20"/>
          <w:szCs w:val="20"/>
        </w:rPr>
        <w:t xml:space="preserve"> &lt; 0.1, </w:t>
      </w:r>
      <w:r w:rsidRPr="00E936AC">
        <w:rPr>
          <w:sz w:val="20"/>
          <w:szCs w:val="20"/>
          <w:vertAlign w:val="superscript"/>
        </w:rPr>
        <w:t>**</w:t>
      </w:r>
      <w:r w:rsidRPr="00E936AC">
        <w:rPr>
          <w:sz w:val="20"/>
          <w:szCs w:val="20"/>
        </w:rPr>
        <w:t xml:space="preserve"> </w:t>
      </w:r>
      <w:r w:rsidRPr="00E936AC">
        <w:rPr>
          <w:i/>
          <w:iCs/>
          <w:sz w:val="20"/>
          <w:szCs w:val="20"/>
        </w:rPr>
        <w:t>p</w:t>
      </w:r>
      <w:r w:rsidRPr="00E936AC">
        <w:rPr>
          <w:sz w:val="20"/>
          <w:szCs w:val="20"/>
        </w:rPr>
        <w:t xml:space="preserve"> &lt; 0.05, </w:t>
      </w:r>
      <w:r w:rsidRPr="00E936AC">
        <w:rPr>
          <w:sz w:val="20"/>
          <w:szCs w:val="20"/>
          <w:vertAlign w:val="superscript"/>
        </w:rPr>
        <w:t>***</w:t>
      </w:r>
      <w:r w:rsidRPr="00E936AC">
        <w:rPr>
          <w:sz w:val="20"/>
          <w:szCs w:val="20"/>
        </w:rPr>
        <w:t xml:space="preserve"> </w:t>
      </w:r>
      <w:r w:rsidRPr="00E936AC">
        <w:rPr>
          <w:i/>
          <w:iCs/>
          <w:sz w:val="20"/>
          <w:szCs w:val="20"/>
        </w:rPr>
        <w:t>p</w:t>
      </w:r>
      <w:r w:rsidRPr="00E936AC">
        <w:rPr>
          <w:sz w:val="20"/>
          <w:szCs w:val="20"/>
        </w:rPr>
        <w:t xml:space="preserve"> &lt; 0.01. All models include a set of (10) sectoral and wave dummies (not reported).  </w:t>
      </w:r>
    </w:p>
    <w:p w:rsidR="0096510B" w:rsidRDefault="0096510B" w:rsidP="0096510B"/>
    <w:p w:rsidR="00633B34" w:rsidRDefault="00633B34" w:rsidP="00633B34"/>
    <w:p w:rsidR="00633B34" w:rsidRDefault="00633B34" w:rsidP="00633B34"/>
    <w:p w:rsidR="009D17C4" w:rsidRDefault="009D17C4">
      <w:r>
        <w:br w:type="page"/>
      </w:r>
    </w:p>
    <w:p w:rsidR="0096510B" w:rsidRPr="009D17C4" w:rsidRDefault="0096510B" w:rsidP="00310E3A">
      <w:pPr>
        <w:ind w:left="-284" w:right="-306"/>
      </w:pPr>
      <w:r w:rsidRPr="00633B34">
        <w:rPr>
          <w:rFonts w:ascii="Arial" w:hAnsi="Arial" w:cs="Arial"/>
          <w:b/>
          <w:sz w:val="22"/>
          <w:szCs w:val="22"/>
        </w:rPr>
        <w:lastRenderedPageBreak/>
        <w:t>Table 4: Estimating additionality effects on new and improved sales from NPD support</w:t>
      </w:r>
    </w:p>
    <w:p w:rsidR="00633B34" w:rsidRPr="00633B34" w:rsidRDefault="00633B34" w:rsidP="00633B34"/>
    <w:tbl>
      <w:tblPr>
        <w:tblW w:w="88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070"/>
        <w:gridCol w:w="1070"/>
        <w:gridCol w:w="1071"/>
        <w:gridCol w:w="1070"/>
        <w:gridCol w:w="1071"/>
      </w:tblGrid>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New and improved product sales</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New and improved product sales</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New and improved product sales</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New and improved product sales</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New and improved product sales</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(3)</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(4)</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(5)</w:t>
            </w: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In-house R&amp;D</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25.387***</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25.158***</w:t>
            </w: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24.759***</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24.935***</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2.465)</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2.456)</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2.446)</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2.458)</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New and improved sales (-1)</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0.293***</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0.288***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0.289***</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0.287***</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0.044)</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0.044)</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0.043)</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0.043)</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Innovation barrier: Technical skills</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-4.472</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-4.467</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-4.142</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-4.703*</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2.805)</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2.811)</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2.792)</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2.801)</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Workforce with degree</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0.061</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0.06</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0.06</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0.058</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0.089)</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0.089)</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0.088)</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0.088)</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Breadth of search</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6.340***</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6.432***</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6.045***</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6.207***</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1.508)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1.509)</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1.508)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1.507)</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Breadth of search squared</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-0.521**</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-0.531**</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-0.486**</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-0.501**</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0.248)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0.248)</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0.248)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0.248)</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Innovation barrier: Lack tech. info.</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-4.59</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-4.55</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-3.908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-3.856</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3.068)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3.071)</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3.068)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3.071)</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Innovation barrier: Regulatory factors</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-0.656</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-0.628</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-0.64</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-0.044</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2.741)</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2.743)</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2.734)</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2.728)</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Innovation barrier: Lack finance</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1.74</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1.644</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1.743</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1.74</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2.400)</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2.401)</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2.393)</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2.383)</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Employment (log)</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2.387**</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2.406**</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2.475**</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2.376**</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2.370**</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1.151)</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1.150)</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1.148)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1.140)</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1.148)</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Plant vintage</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-0.146***</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-0.144***</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-0.145***</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-0.144***</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-0.149***</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0.037)</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0.037)</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0.037)</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0.037)</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0.037)</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Public support for NPD</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5.264*</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6.035**</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5.333**</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4.815*</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5.196*</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2.739)</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2.693)</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2.685)</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2.687)</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2.681)</w:t>
            </w: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In-house R&amp;D  x PS(-1)</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29.990***</w:t>
            </w: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3.788)</w:t>
            </w: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In-house R&amp;D x (1-PS(-1))</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24.420***</w:t>
            </w: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2.546)</w:t>
            </w: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New product sales (-1) x 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0.330***</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0.063)</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New product sales (-1)x (1-PS(-1))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0.290***</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0.047)</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Pr>
                <w:color w:val="000000"/>
                <w:sz w:val="20"/>
                <w:szCs w:val="20"/>
                <w:lang w:eastAsia="en-GB"/>
              </w:rPr>
              <w:t>Inn.</w:t>
            </w:r>
            <w:r w:rsidRPr="00CB7E02">
              <w:rPr>
                <w:color w:val="000000"/>
                <w:sz w:val="20"/>
                <w:szCs w:val="20"/>
                <w:lang w:eastAsia="en-GB"/>
              </w:rPr>
              <w:t xml:space="preserve"> barrier: Technical skills x 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7.933*</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4.750)</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Pr>
                <w:color w:val="000000"/>
                <w:sz w:val="20"/>
                <w:szCs w:val="20"/>
                <w:lang w:eastAsia="en-GB"/>
              </w:rPr>
              <w:t>Inn.</w:t>
            </w:r>
            <w:r w:rsidRPr="00CB7E02">
              <w:rPr>
                <w:color w:val="000000"/>
                <w:sz w:val="20"/>
                <w:szCs w:val="20"/>
                <w:lang w:eastAsia="en-GB"/>
              </w:rPr>
              <w:t xml:space="preserve"> barrier: Technical skills x (1-PS(-1))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-7.802***</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3.002)</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lastRenderedPageBreak/>
              <w:t>Workforce with degree x 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-0.006</w:t>
            </w: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0.154)</w:t>
            </w: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Workforce with degree x (1-PS(-1))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0.084</w:t>
            </w: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0.096)</w:t>
            </w: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Breadth of search  x 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5.938**</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2.781)</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Breadth of search x (1-PS(-1))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5.998***</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1.671)</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Breadth of search sqr, x 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-0.657</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0.456)</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r w:rsidRPr="00CB7E02">
              <w:rPr>
                <w:color w:val="000000"/>
                <w:sz w:val="20"/>
                <w:szCs w:val="20"/>
                <w:lang w:eastAsia="en-GB"/>
              </w:rPr>
              <w:t>Breadth of search sqr, x (1-PS(-1))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-0.412</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0.286)</w:t>
            </w:r>
          </w:p>
        </w:tc>
        <w:tc>
          <w:tcPr>
            <w:tcW w:w="1071" w:type="dxa"/>
            <w:shd w:val="clear" w:color="auto" w:fill="auto"/>
            <w:noWrap/>
            <w:vAlign w:val="bottom"/>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Pr>
                <w:color w:val="000000"/>
                <w:sz w:val="20"/>
                <w:szCs w:val="20"/>
                <w:lang w:eastAsia="en-GB"/>
              </w:rPr>
              <w:t>Inn.</w:t>
            </w:r>
            <w:r w:rsidRPr="00CB7E02">
              <w:rPr>
                <w:color w:val="000000"/>
                <w:sz w:val="20"/>
                <w:szCs w:val="20"/>
                <w:lang w:eastAsia="en-GB"/>
              </w:rPr>
              <w:t xml:space="preserve"> barrier: Lack tech. info x 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12.968**</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5.291)</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w:t>
            </w:r>
            <w:r w:rsidRPr="00CB7E02">
              <w:rPr>
                <w:color w:val="000000"/>
                <w:sz w:val="20"/>
                <w:szCs w:val="20"/>
                <w:lang w:eastAsia="en-GB"/>
              </w:rPr>
              <w:t xml:space="preserve"> barrier: Lack tech. info x (1-PS(-1))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-8.952***</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3.266)</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w:t>
            </w:r>
            <w:r w:rsidRPr="00CB7E02">
              <w:rPr>
                <w:color w:val="000000"/>
                <w:sz w:val="20"/>
                <w:szCs w:val="20"/>
                <w:lang w:eastAsia="en-GB"/>
              </w:rPr>
              <w:t xml:space="preserve"> barrier: Regulatory factors x 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9.823*</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5.180)</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 barrier: Reg.</w:t>
            </w:r>
            <w:r w:rsidRPr="00CB7E02">
              <w:rPr>
                <w:color w:val="000000"/>
                <w:sz w:val="20"/>
                <w:szCs w:val="20"/>
                <w:lang w:eastAsia="en-GB"/>
              </w:rPr>
              <w:t xml:space="preserve"> factors x (1-PS(-1))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-3.289</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2.986)</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w:t>
            </w:r>
            <w:r w:rsidRPr="00CB7E02">
              <w:rPr>
                <w:color w:val="000000"/>
                <w:sz w:val="20"/>
                <w:szCs w:val="20"/>
                <w:lang w:eastAsia="en-GB"/>
              </w:rPr>
              <w:t xml:space="preserve"> barrier: Lack finance x 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2.94</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4.599)</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Inn</w:t>
            </w:r>
            <w:r>
              <w:rPr>
                <w:color w:val="000000"/>
                <w:sz w:val="20"/>
                <w:szCs w:val="20"/>
                <w:lang w:eastAsia="en-GB"/>
              </w:rPr>
              <w:t>.</w:t>
            </w:r>
            <w:r w:rsidRPr="00CB7E02">
              <w:rPr>
                <w:color w:val="000000"/>
                <w:sz w:val="20"/>
                <w:szCs w:val="20"/>
                <w:lang w:eastAsia="en-GB"/>
              </w:rPr>
              <w:t xml:space="preserve"> barrier: Lack finance x (1-PS(-1))</w:t>
            </w: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1.482</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p>
        </w:tc>
        <w:tc>
          <w:tcPr>
            <w:tcW w:w="1070" w:type="dxa"/>
            <w:vAlign w:val="bottom"/>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Pr>
                <w:color w:val="000000"/>
                <w:sz w:val="20"/>
                <w:szCs w:val="20"/>
                <w:lang w:eastAsia="en-GB"/>
              </w:rPr>
              <w:t>(</w:t>
            </w:r>
            <w:r w:rsidRPr="00CB7E02">
              <w:rPr>
                <w:color w:val="000000"/>
                <w:sz w:val="20"/>
                <w:szCs w:val="20"/>
                <w:lang w:eastAsia="en-GB"/>
              </w:rPr>
              <w:t>2.594)</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Number  of observations</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1509</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1509</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1509</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1509</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1509</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Equation χ</w:t>
            </w:r>
            <w:r w:rsidRPr="00CB7E02">
              <w:rPr>
                <w:color w:val="000000"/>
                <w:sz w:val="20"/>
                <w:szCs w:val="20"/>
                <w:vertAlign w:val="superscript"/>
                <w:lang w:eastAsia="en-GB"/>
              </w:rPr>
              <w:t>2</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575.871</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574.184</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582.626</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595.046</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581.507</w:t>
            </w:r>
          </w:p>
        </w:tc>
      </w:tr>
      <w:tr w:rsidR="0096510B" w:rsidRPr="00342667" w:rsidTr="00310E3A">
        <w:trPr>
          <w:trHeight w:val="300"/>
        </w:trPr>
        <w:tc>
          <w:tcPr>
            <w:tcW w:w="3545" w:type="dxa"/>
            <w:shd w:val="clear" w:color="auto" w:fill="auto"/>
            <w:noWrap/>
            <w:vAlign w:val="center"/>
            <w:hideMark/>
          </w:tcPr>
          <w:p w:rsidR="0096510B" w:rsidRPr="00CB7E02" w:rsidRDefault="0096510B" w:rsidP="005206BB">
            <w:pPr>
              <w:rPr>
                <w:color w:val="000000"/>
                <w:sz w:val="20"/>
                <w:szCs w:val="20"/>
                <w:lang w:eastAsia="en-GB"/>
              </w:rPr>
            </w:pPr>
            <w:r w:rsidRPr="00CB7E02">
              <w:rPr>
                <w:color w:val="000000"/>
                <w:sz w:val="20"/>
                <w:szCs w:val="20"/>
                <w:lang w:eastAsia="en-GB"/>
              </w:rPr>
              <w:t>BIC</w:t>
            </w:r>
          </w:p>
        </w:tc>
        <w:tc>
          <w:tcPr>
            <w:tcW w:w="1070" w:type="dxa"/>
            <w:vAlign w:val="bottom"/>
          </w:tcPr>
          <w:p w:rsidR="0096510B" w:rsidRPr="00CB7E02" w:rsidRDefault="0096510B" w:rsidP="005206BB">
            <w:pPr>
              <w:jc w:val="right"/>
              <w:rPr>
                <w:color w:val="000000"/>
                <w:sz w:val="20"/>
                <w:szCs w:val="20"/>
                <w:lang w:eastAsia="en-GB"/>
              </w:rPr>
            </w:pPr>
            <w:r w:rsidRPr="00CB7E02">
              <w:rPr>
                <w:color w:val="000000"/>
                <w:sz w:val="20"/>
                <w:szCs w:val="20"/>
                <w:lang w:eastAsia="en-GB"/>
              </w:rPr>
              <w:t>9350.138</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9352.222</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9349.667</w:t>
            </w:r>
          </w:p>
        </w:tc>
        <w:tc>
          <w:tcPr>
            <w:tcW w:w="1070"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9349.657</w:t>
            </w:r>
          </w:p>
        </w:tc>
        <w:tc>
          <w:tcPr>
            <w:tcW w:w="1071" w:type="dxa"/>
            <w:shd w:val="clear" w:color="auto" w:fill="auto"/>
            <w:noWrap/>
            <w:vAlign w:val="bottom"/>
            <w:hideMark/>
          </w:tcPr>
          <w:p w:rsidR="0096510B" w:rsidRPr="00CB7E02" w:rsidRDefault="0096510B" w:rsidP="005206BB">
            <w:pPr>
              <w:jc w:val="right"/>
              <w:rPr>
                <w:color w:val="000000"/>
                <w:sz w:val="20"/>
                <w:szCs w:val="20"/>
                <w:lang w:eastAsia="en-GB"/>
              </w:rPr>
            </w:pPr>
            <w:r w:rsidRPr="00CB7E02">
              <w:rPr>
                <w:color w:val="000000"/>
                <w:sz w:val="20"/>
                <w:szCs w:val="20"/>
                <w:lang w:eastAsia="en-GB"/>
              </w:rPr>
              <w:t>9351.125</w:t>
            </w:r>
          </w:p>
        </w:tc>
      </w:tr>
    </w:tbl>
    <w:p w:rsidR="0096510B" w:rsidRPr="00E936AC" w:rsidRDefault="0096510B" w:rsidP="00742703">
      <w:pPr>
        <w:jc w:val="both"/>
      </w:pPr>
      <w:r w:rsidRPr="00E936AC">
        <w:rPr>
          <w:b/>
        </w:rPr>
        <w:t>Source:</w:t>
      </w:r>
      <w:r w:rsidRPr="00E936AC">
        <w:t xml:space="preserve"> Irish Innovation Panel, waves 2-7 of the survey are included. Observations are weighted to give representative results.</w:t>
      </w:r>
      <w:r>
        <w:t xml:space="preserve"> Observations are included in tobits only where a lagged observation is available to allow estimation of legacy effects. Coefficients reported are marginal effects. </w:t>
      </w:r>
      <w:r w:rsidRPr="00E936AC">
        <w:rPr>
          <w:sz w:val="20"/>
          <w:szCs w:val="20"/>
          <w:vertAlign w:val="superscript"/>
        </w:rPr>
        <w:t>*</w:t>
      </w:r>
      <w:r w:rsidRPr="00E936AC">
        <w:rPr>
          <w:sz w:val="20"/>
          <w:szCs w:val="20"/>
        </w:rPr>
        <w:t xml:space="preserve"> </w:t>
      </w:r>
      <w:r w:rsidRPr="00E936AC">
        <w:rPr>
          <w:i/>
          <w:iCs/>
          <w:sz w:val="20"/>
          <w:szCs w:val="20"/>
        </w:rPr>
        <w:t>p</w:t>
      </w:r>
      <w:r w:rsidRPr="00E936AC">
        <w:rPr>
          <w:sz w:val="20"/>
          <w:szCs w:val="20"/>
        </w:rPr>
        <w:t xml:space="preserve"> &lt; 0.1, </w:t>
      </w:r>
      <w:r w:rsidRPr="00E936AC">
        <w:rPr>
          <w:sz w:val="20"/>
          <w:szCs w:val="20"/>
          <w:vertAlign w:val="superscript"/>
        </w:rPr>
        <w:t>**</w:t>
      </w:r>
      <w:r w:rsidRPr="00E936AC">
        <w:rPr>
          <w:sz w:val="20"/>
          <w:szCs w:val="20"/>
        </w:rPr>
        <w:t xml:space="preserve"> </w:t>
      </w:r>
      <w:r w:rsidRPr="00E936AC">
        <w:rPr>
          <w:i/>
          <w:iCs/>
          <w:sz w:val="20"/>
          <w:szCs w:val="20"/>
        </w:rPr>
        <w:t>p</w:t>
      </w:r>
      <w:r w:rsidRPr="00E936AC">
        <w:rPr>
          <w:sz w:val="20"/>
          <w:szCs w:val="20"/>
        </w:rPr>
        <w:t xml:space="preserve"> &lt; 0.05, </w:t>
      </w:r>
      <w:r w:rsidRPr="00E936AC">
        <w:rPr>
          <w:sz w:val="20"/>
          <w:szCs w:val="20"/>
          <w:vertAlign w:val="superscript"/>
        </w:rPr>
        <w:t>***</w:t>
      </w:r>
      <w:r w:rsidRPr="00E936AC">
        <w:rPr>
          <w:sz w:val="20"/>
          <w:szCs w:val="20"/>
        </w:rPr>
        <w:t xml:space="preserve"> </w:t>
      </w:r>
      <w:r w:rsidRPr="00E936AC">
        <w:rPr>
          <w:i/>
          <w:iCs/>
          <w:sz w:val="20"/>
          <w:szCs w:val="20"/>
        </w:rPr>
        <w:t>p</w:t>
      </w:r>
      <w:r w:rsidRPr="00E936AC">
        <w:rPr>
          <w:sz w:val="20"/>
          <w:szCs w:val="20"/>
        </w:rPr>
        <w:t xml:space="preserve"> &lt; 0.01. All models include a set of (10) sectoral and wave dummies (not reported).  </w:t>
      </w:r>
    </w:p>
    <w:p w:rsidR="0096510B" w:rsidRDefault="0096510B" w:rsidP="0096510B"/>
    <w:p w:rsidR="009D17C4" w:rsidRDefault="009D17C4">
      <w:pPr>
        <w:rPr>
          <w:rFonts w:ascii="Courier New" w:hAnsi="Courier New" w:cs="Courier New"/>
          <w:sz w:val="16"/>
          <w:szCs w:val="16"/>
        </w:rPr>
      </w:pPr>
      <w:r>
        <w:rPr>
          <w:rFonts w:ascii="Courier New" w:hAnsi="Courier New" w:cs="Courier New"/>
          <w:sz w:val="16"/>
          <w:szCs w:val="16"/>
        </w:rPr>
        <w:br w:type="page"/>
      </w:r>
    </w:p>
    <w:p w:rsidR="000B51E0" w:rsidRDefault="000B51E0" w:rsidP="009D17C4">
      <w:pPr>
        <w:rPr>
          <w:rFonts w:ascii="Arial" w:hAnsi="Arial" w:cs="Arial"/>
          <w:b/>
          <w:sz w:val="22"/>
          <w:szCs w:val="22"/>
        </w:rPr>
      </w:pPr>
    </w:p>
    <w:p w:rsidR="0096510B" w:rsidRDefault="0096510B" w:rsidP="009D17C4">
      <w:pPr>
        <w:rPr>
          <w:rFonts w:ascii="Arial" w:hAnsi="Arial" w:cs="Arial"/>
          <w:b/>
          <w:sz w:val="22"/>
          <w:szCs w:val="22"/>
        </w:rPr>
      </w:pPr>
      <w:r w:rsidRPr="00633B34">
        <w:rPr>
          <w:rFonts w:ascii="Arial" w:hAnsi="Arial" w:cs="Arial"/>
          <w:b/>
          <w:sz w:val="22"/>
          <w:szCs w:val="22"/>
        </w:rPr>
        <w:t>Table 5: Summary of Wald tests for Additionality: By public support for NPD and R&amp;D last period</w:t>
      </w:r>
    </w:p>
    <w:p w:rsidR="009D17C4" w:rsidRDefault="009D17C4" w:rsidP="009D17C4">
      <w:pPr>
        <w:rPr>
          <w:rFonts w:ascii="Arial" w:hAnsi="Arial" w:cs="Arial"/>
          <w:b/>
          <w:sz w:val="22"/>
          <w:szCs w:val="22"/>
        </w:rPr>
      </w:pPr>
    </w:p>
    <w:p w:rsidR="009D17C4" w:rsidRPr="009D17C4" w:rsidRDefault="009D17C4" w:rsidP="009D17C4">
      <w:pPr>
        <w:rPr>
          <w:rFonts w:ascii="Courier New" w:hAnsi="Courier New" w:cs="Courier New"/>
          <w:sz w:val="16"/>
          <w:szCs w:val="16"/>
        </w:rPr>
      </w:pPr>
    </w:p>
    <w:tbl>
      <w:tblPr>
        <w:tblStyle w:val="TableGrid"/>
        <w:tblW w:w="0" w:type="auto"/>
        <w:tblInd w:w="108" w:type="dxa"/>
        <w:tblLook w:val="04A0" w:firstRow="1" w:lastRow="0" w:firstColumn="1" w:lastColumn="0" w:noHBand="0" w:noVBand="1"/>
      </w:tblPr>
      <w:tblGrid>
        <w:gridCol w:w="2315"/>
        <w:gridCol w:w="1123"/>
        <w:gridCol w:w="1329"/>
        <w:gridCol w:w="1272"/>
        <w:gridCol w:w="1329"/>
      </w:tblGrid>
      <w:tr w:rsidR="0096510B" w:rsidRPr="00813FC9" w:rsidTr="00742703">
        <w:tc>
          <w:tcPr>
            <w:tcW w:w="2315" w:type="dxa"/>
          </w:tcPr>
          <w:p w:rsidR="0096510B" w:rsidRPr="00633B34" w:rsidRDefault="0096510B" w:rsidP="005206BB">
            <w:pPr>
              <w:rPr>
                <w:sz w:val="22"/>
                <w:szCs w:val="22"/>
              </w:rPr>
            </w:pPr>
          </w:p>
        </w:tc>
        <w:tc>
          <w:tcPr>
            <w:tcW w:w="2452" w:type="dxa"/>
            <w:gridSpan w:val="2"/>
          </w:tcPr>
          <w:p w:rsidR="0096510B" w:rsidRPr="00633B34" w:rsidRDefault="0096510B" w:rsidP="005206BB">
            <w:pPr>
              <w:jc w:val="center"/>
              <w:rPr>
                <w:sz w:val="22"/>
                <w:szCs w:val="22"/>
              </w:rPr>
            </w:pPr>
            <w:r w:rsidRPr="00633B34">
              <w:rPr>
                <w:sz w:val="22"/>
                <w:szCs w:val="22"/>
              </w:rPr>
              <w:t>Public support for NPD</w:t>
            </w:r>
          </w:p>
        </w:tc>
        <w:tc>
          <w:tcPr>
            <w:tcW w:w="2601" w:type="dxa"/>
            <w:gridSpan w:val="2"/>
          </w:tcPr>
          <w:p w:rsidR="0096510B" w:rsidRPr="00633B34" w:rsidRDefault="0096510B" w:rsidP="005206BB">
            <w:pPr>
              <w:jc w:val="center"/>
              <w:rPr>
                <w:sz w:val="22"/>
                <w:szCs w:val="22"/>
              </w:rPr>
            </w:pPr>
            <w:r w:rsidRPr="00633B34">
              <w:rPr>
                <w:sz w:val="22"/>
                <w:szCs w:val="22"/>
              </w:rPr>
              <w:t>Public support for R&amp;D</w:t>
            </w:r>
          </w:p>
        </w:tc>
      </w:tr>
      <w:tr w:rsidR="0096510B" w:rsidRPr="00813FC9" w:rsidTr="00742703">
        <w:tc>
          <w:tcPr>
            <w:tcW w:w="2315" w:type="dxa"/>
          </w:tcPr>
          <w:p w:rsidR="0096510B" w:rsidRPr="00633B34" w:rsidRDefault="0096510B" w:rsidP="005206BB">
            <w:pPr>
              <w:rPr>
                <w:sz w:val="22"/>
                <w:szCs w:val="22"/>
              </w:rPr>
            </w:pPr>
          </w:p>
        </w:tc>
        <w:tc>
          <w:tcPr>
            <w:tcW w:w="1123" w:type="dxa"/>
          </w:tcPr>
          <w:p w:rsidR="0096510B" w:rsidRPr="00633B34" w:rsidRDefault="0096510B" w:rsidP="005206BB">
            <w:pPr>
              <w:jc w:val="center"/>
              <w:rPr>
                <w:sz w:val="22"/>
                <w:szCs w:val="22"/>
              </w:rPr>
            </w:pPr>
            <w:r w:rsidRPr="00633B34">
              <w:rPr>
                <w:sz w:val="22"/>
                <w:szCs w:val="22"/>
              </w:rPr>
              <w:t>New product sales</w:t>
            </w:r>
          </w:p>
        </w:tc>
        <w:tc>
          <w:tcPr>
            <w:tcW w:w="1329" w:type="dxa"/>
          </w:tcPr>
          <w:p w:rsidR="0096510B" w:rsidRPr="00633B34" w:rsidRDefault="0096510B" w:rsidP="005206BB">
            <w:pPr>
              <w:jc w:val="center"/>
              <w:rPr>
                <w:sz w:val="22"/>
                <w:szCs w:val="22"/>
              </w:rPr>
            </w:pPr>
            <w:r w:rsidRPr="00633B34">
              <w:rPr>
                <w:sz w:val="22"/>
                <w:szCs w:val="22"/>
              </w:rPr>
              <w:t>New and improved product sales</w:t>
            </w:r>
          </w:p>
        </w:tc>
        <w:tc>
          <w:tcPr>
            <w:tcW w:w="1272" w:type="dxa"/>
          </w:tcPr>
          <w:p w:rsidR="0096510B" w:rsidRPr="00633B34" w:rsidRDefault="0096510B" w:rsidP="005206BB">
            <w:pPr>
              <w:jc w:val="center"/>
              <w:rPr>
                <w:sz w:val="22"/>
                <w:szCs w:val="22"/>
              </w:rPr>
            </w:pPr>
            <w:r w:rsidRPr="00633B34">
              <w:rPr>
                <w:sz w:val="22"/>
                <w:szCs w:val="22"/>
              </w:rPr>
              <w:t>New product sales</w:t>
            </w:r>
          </w:p>
        </w:tc>
        <w:tc>
          <w:tcPr>
            <w:tcW w:w="1329" w:type="dxa"/>
          </w:tcPr>
          <w:p w:rsidR="0096510B" w:rsidRPr="00633B34" w:rsidRDefault="0096510B" w:rsidP="005206BB">
            <w:pPr>
              <w:jc w:val="center"/>
              <w:rPr>
                <w:sz w:val="22"/>
                <w:szCs w:val="22"/>
              </w:rPr>
            </w:pPr>
            <w:r w:rsidRPr="00633B34">
              <w:rPr>
                <w:sz w:val="22"/>
                <w:szCs w:val="22"/>
              </w:rPr>
              <w:t>New and improved product sales</w:t>
            </w:r>
          </w:p>
        </w:tc>
      </w:tr>
      <w:tr w:rsidR="0096510B" w:rsidRPr="00813FC9" w:rsidTr="00742703">
        <w:tc>
          <w:tcPr>
            <w:tcW w:w="2315" w:type="dxa"/>
          </w:tcPr>
          <w:p w:rsidR="0096510B" w:rsidRPr="00633B34" w:rsidRDefault="0096510B" w:rsidP="005206BB">
            <w:pPr>
              <w:rPr>
                <w:sz w:val="22"/>
                <w:szCs w:val="22"/>
              </w:rPr>
            </w:pPr>
            <w:r w:rsidRPr="00633B34">
              <w:rPr>
                <w:sz w:val="22"/>
                <w:szCs w:val="22"/>
              </w:rPr>
              <w:t>Input additionality</w:t>
            </w:r>
          </w:p>
        </w:tc>
        <w:tc>
          <w:tcPr>
            <w:tcW w:w="1123" w:type="dxa"/>
          </w:tcPr>
          <w:p w:rsidR="0096510B" w:rsidRPr="00633B34" w:rsidRDefault="0096510B" w:rsidP="005206BB">
            <w:pPr>
              <w:jc w:val="center"/>
              <w:rPr>
                <w:sz w:val="22"/>
                <w:szCs w:val="22"/>
              </w:rPr>
            </w:pPr>
            <w:r w:rsidRPr="00633B34">
              <w:rPr>
                <w:sz w:val="22"/>
                <w:szCs w:val="22"/>
              </w:rPr>
              <w:t>0.62</w:t>
            </w:r>
          </w:p>
        </w:tc>
        <w:tc>
          <w:tcPr>
            <w:tcW w:w="1329" w:type="dxa"/>
          </w:tcPr>
          <w:p w:rsidR="0096510B" w:rsidRPr="00633B34" w:rsidRDefault="0096510B" w:rsidP="005206BB">
            <w:pPr>
              <w:jc w:val="center"/>
              <w:rPr>
                <w:sz w:val="22"/>
                <w:szCs w:val="22"/>
              </w:rPr>
            </w:pPr>
            <w:r w:rsidRPr="00633B34">
              <w:rPr>
                <w:sz w:val="22"/>
                <w:szCs w:val="22"/>
              </w:rPr>
              <w:t>2.48</w:t>
            </w:r>
          </w:p>
        </w:tc>
        <w:tc>
          <w:tcPr>
            <w:tcW w:w="1272" w:type="dxa"/>
          </w:tcPr>
          <w:p w:rsidR="0096510B" w:rsidRPr="00633B34" w:rsidRDefault="0096510B" w:rsidP="005206BB">
            <w:pPr>
              <w:jc w:val="center"/>
              <w:rPr>
                <w:sz w:val="22"/>
                <w:szCs w:val="22"/>
              </w:rPr>
            </w:pPr>
            <w:r w:rsidRPr="00633B34">
              <w:rPr>
                <w:sz w:val="22"/>
                <w:szCs w:val="22"/>
              </w:rPr>
              <w:t>0.72</w:t>
            </w:r>
          </w:p>
        </w:tc>
        <w:tc>
          <w:tcPr>
            <w:tcW w:w="1329" w:type="dxa"/>
          </w:tcPr>
          <w:p w:rsidR="0096510B" w:rsidRPr="00633B34" w:rsidRDefault="0096510B" w:rsidP="005206BB">
            <w:pPr>
              <w:jc w:val="center"/>
              <w:rPr>
                <w:sz w:val="22"/>
                <w:szCs w:val="22"/>
              </w:rPr>
            </w:pPr>
            <w:r w:rsidRPr="00633B34">
              <w:rPr>
                <w:sz w:val="22"/>
                <w:szCs w:val="22"/>
              </w:rPr>
              <w:t>3.75*</w:t>
            </w:r>
          </w:p>
        </w:tc>
      </w:tr>
      <w:tr w:rsidR="0096510B" w:rsidRPr="00813FC9" w:rsidTr="00742703">
        <w:tc>
          <w:tcPr>
            <w:tcW w:w="2315" w:type="dxa"/>
          </w:tcPr>
          <w:p w:rsidR="0096510B" w:rsidRPr="00633B34" w:rsidRDefault="0096510B" w:rsidP="005206BB">
            <w:pPr>
              <w:rPr>
                <w:sz w:val="22"/>
                <w:szCs w:val="22"/>
              </w:rPr>
            </w:pPr>
            <w:r w:rsidRPr="00633B34">
              <w:rPr>
                <w:sz w:val="22"/>
                <w:szCs w:val="22"/>
              </w:rPr>
              <w:t>Output additionality</w:t>
            </w:r>
          </w:p>
        </w:tc>
        <w:tc>
          <w:tcPr>
            <w:tcW w:w="1123" w:type="dxa"/>
          </w:tcPr>
          <w:p w:rsidR="0096510B" w:rsidRPr="00633B34" w:rsidRDefault="0096510B" w:rsidP="005206BB">
            <w:pPr>
              <w:jc w:val="center"/>
              <w:rPr>
                <w:sz w:val="22"/>
                <w:szCs w:val="22"/>
              </w:rPr>
            </w:pPr>
            <w:r w:rsidRPr="00633B34">
              <w:rPr>
                <w:sz w:val="22"/>
                <w:szCs w:val="22"/>
              </w:rPr>
              <w:t>3.08*</w:t>
            </w:r>
          </w:p>
        </w:tc>
        <w:tc>
          <w:tcPr>
            <w:tcW w:w="1329" w:type="dxa"/>
          </w:tcPr>
          <w:p w:rsidR="0096510B" w:rsidRPr="00633B34" w:rsidRDefault="0096510B" w:rsidP="005206BB">
            <w:pPr>
              <w:jc w:val="center"/>
              <w:rPr>
                <w:sz w:val="22"/>
                <w:szCs w:val="22"/>
              </w:rPr>
            </w:pPr>
            <w:r w:rsidRPr="00633B34">
              <w:rPr>
                <w:sz w:val="22"/>
                <w:szCs w:val="22"/>
              </w:rPr>
              <w:t>0.40</w:t>
            </w:r>
          </w:p>
        </w:tc>
        <w:tc>
          <w:tcPr>
            <w:tcW w:w="1272" w:type="dxa"/>
          </w:tcPr>
          <w:p w:rsidR="0096510B" w:rsidRPr="00633B34" w:rsidRDefault="0096510B" w:rsidP="005206BB">
            <w:pPr>
              <w:jc w:val="center"/>
              <w:rPr>
                <w:sz w:val="22"/>
                <w:szCs w:val="22"/>
              </w:rPr>
            </w:pPr>
            <w:r w:rsidRPr="00633B34">
              <w:rPr>
                <w:sz w:val="22"/>
                <w:szCs w:val="22"/>
              </w:rPr>
              <w:t>6.87***</w:t>
            </w:r>
          </w:p>
        </w:tc>
        <w:tc>
          <w:tcPr>
            <w:tcW w:w="1329" w:type="dxa"/>
          </w:tcPr>
          <w:p w:rsidR="0096510B" w:rsidRPr="00633B34" w:rsidRDefault="0096510B" w:rsidP="005206BB">
            <w:pPr>
              <w:jc w:val="center"/>
              <w:rPr>
                <w:sz w:val="22"/>
                <w:szCs w:val="22"/>
              </w:rPr>
            </w:pPr>
            <w:r w:rsidRPr="00633B34">
              <w:rPr>
                <w:sz w:val="22"/>
                <w:szCs w:val="22"/>
              </w:rPr>
              <w:t>4.97**</w:t>
            </w:r>
          </w:p>
        </w:tc>
      </w:tr>
      <w:tr w:rsidR="0096510B" w:rsidRPr="00813FC9" w:rsidTr="00742703">
        <w:tc>
          <w:tcPr>
            <w:tcW w:w="2315" w:type="dxa"/>
          </w:tcPr>
          <w:p w:rsidR="0096510B" w:rsidRPr="00633B34" w:rsidRDefault="0096510B" w:rsidP="005206BB">
            <w:pPr>
              <w:rPr>
                <w:sz w:val="22"/>
                <w:szCs w:val="22"/>
              </w:rPr>
            </w:pPr>
            <w:r w:rsidRPr="00633B34">
              <w:rPr>
                <w:sz w:val="22"/>
                <w:szCs w:val="22"/>
              </w:rPr>
              <w:t xml:space="preserve">Behavioural addit.: Congenital </w:t>
            </w:r>
          </w:p>
        </w:tc>
        <w:tc>
          <w:tcPr>
            <w:tcW w:w="1123" w:type="dxa"/>
          </w:tcPr>
          <w:p w:rsidR="0096510B" w:rsidRPr="00633B34" w:rsidRDefault="0096510B" w:rsidP="005206BB">
            <w:pPr>
              <w:jc w:val="center"/>
              <w:rPr>
                <w:sz w:val="22"/>
                <w:szCs w:val="22"/>
              </w:rPr>
            </w:pPr>
            <w:r w:rsidRPr="00633B34">
              <w:rPr>
                <w:sz w:val="22"/>
                <w:szCs w:val="22"/>
              </w:rPr>
              <w:t>11.82***</w:t>
            </w:r>
          </w:p>
        </w:tc>
        <w:tc>
          <w:tcPr>
            <w:tcW w:w="1329" w:type="dxa"/>
          </w:tcPr>
          <w:p w:rsidR="0096510B" w:rsidRPr="00633B34" w:rsidRDefault="0096510B" w:rsidP="005206BB">
            <w:pPr>
              <w:jc w:val="center"/>
              <w:rPr>
                <w:sz w:val="22"/>
                <w:szCs w:val="22"/>
              </w:rPr>
            </w:pPr>
            <w:r w:rsidRPr="00633B34">
              <w:rPr>
                <w:sz w:val="22"/>
                <w:szCs w:val="22"/>
              </w:rPr>
              <w:t>10.30***</w:t>
            </w:r>
          </w:p>
        </w:tc>
        <w:tc>
          <w:tcPr>
            <w:tcW w:w="1272" w:type="dxa"/>
          </w:tcPr>
          <w:p w:rsidR="0096510B" w:rsidRPr="00633B34" w:rsidRDefault="0096510B" w:rsidP="005206BB">
            <w:pPr>
              <w:jc w:val="center"/>
              <w:rPr>
                <w:sz w:val="22"/>
                <w:szCs w:val="22"/>
              </w:rPr>
            </w:pPr>
            <w:r w:rsidRPr="00633B34">
              <w:rPr>
                <w:sz w:val="22"/>
                <w:szCs w:val="22"/>
              </w:rPr>
              <w:t>2.22</w:t>
            </w:r>
          </w:p>
        </w:tc>
        <w:tc>
          <w:tcPr>
            <w:tcW w:w="1329" w:type="dxa"/>
          </w:tcPr>
          <w:p w:rsidR="0096510B" w:rsidRPr="00633B34" w:rsidRDefault="0096510B" w:rsidP="005206BB">
            <w:pPr>
              <w:jc w:val="center"/>
              <w:rPr>
                <w:sz w:val="22"/>
                <w:szCs w:val="22"/>
              </w:rPr>
            </w:pPr>
            <w:r w:rsidRPr="00633B34">
              <w:rPr>
                <w:sz w:val="22"/>
                <w:szCs w:val="22"/>
              </w:rPr>
              <w:t>2.69</w:t>
            </w:r>
          </w:p>
        </w:tc>
      </w:tr>
      <w:tr w:rsidR="0096510B" w:rsidRPr="00813FC9" w:rsidTr="00742703">
        <w:tc>
          <w:tcPr>
            <w:tcW w:w="2315" w:type="dxa"/>
          </w:tcPr>
          <w:p w:rsidR="0096510B" w:rsidRPr="00633B34" w:rsidRDefault="0096510B" w:rsidP="005206BB">
            <w:pPr>
              <w:rPr>
                <w:sz w:val="22"/>
                <w:szCs w:val="22"/>
              </w:rPr>
            </w:pPr>
            <w:r w:rsidRPr="00633B34">
              <w:rPr>
                <w:sz w:val="22"/>
                <w:szCs w:val="22"/>
              </w:rPr>
              <w:t>Behavioural addit.: Inter-organ.</w:t>
            </w:r>
          </w:p>
        </w:tc>
        <w:tc>
          <w:tcPr>
            <w:tcW w:w="1123" w:type="dxa"/>
          </w:tcPr>
          <w:p w:rsidR="0096510B" w:rsidRPr="00633B34" w:rsidRDefault="0096510B" w:rsidP="005206BB">
            <w:pPr>
              <w:jc w:val="center"/>
              <w:rPr>
                <w:sz w:val="22"/>
                <w:szCs w:val="22"/>
              </w:rPr>
            </w:pPr>
            <w:r w:rsidRPr="00633B34">
              <w:rPr>
                <w:sz w:val="22"/>
                <w:szCs w:val="22"/>
              </w:rPr>
              <w:t>17.00***</w:t>
            </w:r>
          </w:p>
        </w:tc>
        <w:tc>
          <w:tcPr>
            <w:tcW w:w="1329" w:type="dxa"/>
          </w:tcPr>
          <w:p w:rsidR="0096510B" w:rsidRPr="00633B34" w:rsidRDefault="0096510B" w:rsidP="005206BB">
            <w:pPr>
              <w:jc w:val="center"/>
              <w:rPr>
                <w:sz w:val="22"/>
                <w:szCs w:val="22"/>
              </w:rPr>
            </w:pPr>
            <w:r w:rsidRPr="00633B34">
              <w:rPr>
                <w:sz w:val="22"/>
                <w:szCs w:val="22"/>
              </w:rPr>
              <w:t>17.71***</w:t>
            </w:r>
          </w:p>
        </w:tc>
        <w:tc>
          <w:tcPr>
            <w:tcW w:w="1272" w:type="dxa"/>
          </w:tcPr>
          <w:p w:rsidR="0096510B" w:rsidRPr="00633B34" w:rsidRDefault="0096510B" w:rsidP="005206BB">
            <w:pPr>
              <w:jc w:val="center"/>
              <w:rPr>
                <w:sz w:val="22"/>
                <w:szCs w:val="22"/>
              </w:rPr>
            </w:pPr>
            <w:r w:rsidRPr="00633B34">
              <w:rPr>
                <w:sz w:val="22"/>
                <w:szCs w:val="22"/>
              </w:rPr>
              <w:t>3.28</w:t>
            </w:r>
          </w:p>
        </w:tc>
        <w:tc>
          <w:tcPr>
            <w:tcW w:w="1329" w:type="dxa"/>
          </w:tcPr>
          <w:p w:rsidR="0096510B" w:rsidRPr="00633B34" w:rsidRDefault="0096510B" w:rsidP="005206BB">
            <w:pPr>
              <w:jc w:val="center"/>
              <w:rPr>
                <w:sz w:val="22"/>
                <w:szCs w:val="22"/>
              </w:rPr>
            </w:pPr>
            <w:r w:rsidRPr="00633B34">
              <w:rPr>
                <w:sz w:val="22"/>
                <w:szCs w:val="22"/>
              </w:rPr>
              <w:t>6.10</w:t>
            </w:r>
          </w:p>
        </w:tc>
      </w:tr>
      <w:tr w:rsidR="0096510B" w:rsidRPr="00813FC9" w:rsidTr="00742703">
        <w:tc>
          <w:tcPr>
            <w:tcW w:w="2315" w:type="dxa"/>
          </w:tcPr>
          <w:p w:rsidR="0096510B" w:rsidRPr="00633B34" w:rsidRDefault="0096510B" w:rsidP="005206BB">
            <w:pPr>
              <w:rPr>
                <w:sz w:val="22"/>
                <w:szCs w:val="22"/>
              </w:rPr>
            </w:pPr>
            <w:r w:rsidRPr="00633B34">
              <w:rPr>
                <w:sz w:val="22"/>
                <w:szCs w:val="22"/>
              </w:rPr>
              <w:t>Behavioural addit.: Experiential</w:t>
            </w:r>
          </w:p>
        </w:tc>
        <w:tc>
          <w:tcPr>
            <w:tcW w:w="1123" w:type="dxa"/>
          </w:tcPr>
          <w:p w:rsidR="0096510B" w:rsidRPr="00633B34" w:rsidRDefault="0096510B" w:rsidP="005206BB">
            <w:pPr>
              <w:jc w:val="center"/>
              <w:rPr>
                <w:sz w:val="22"/>
                <w:szCs w:val="22"/>
              </w:rPr>
            </w:pPr>
            <w:r w:rsidRPr="00633B34">
              <w:rPr>
                <w:sz w:val="22"/>
                <w:szCs w:val="22"/>
              </w:rPr>
              <w:t>7.30**</w:t>
            </w:r>
          </w:p>
        </w:tc>
        <w:tc>
          <w:tcPr>
            <w:tcW w:w="1329" w:type="dxa"/>
          </w:tcPr>
          <w:p w:rsidR="0096510B" w:rsidRPr="00633B34" w:rsidRDefault="0096510B" w:rsidP="005206BB">
            <w:pPr>
              <w:jc w:val="center"/>
              <w:rPr>
                <w:sz w:val="22"/>
                <w:szCs w:val="22"/>
              </w:rPr>
            </w:pPr>
            <w:r w:rsidRPr="00633B34">
              <w:rPr>
                <w:sz w:val="22"/>
                <w:szCs w:val="22"/>
              </w:rPr>
              <w:t>8.83</w:t>
            </w:r>
          </w:p>
        </w:tc>
        <w:tc>
          <w:tcPr>
            <w:tcW w:w="1272" w:type="dxa"/>
          </w:tcPr>
          <w:p w:rsidR="0096510B" w:rsidRPr="00633B34" w:rsidRDefault="0096510B" w:rsidP="005206BB">
            <w:pPr>
              <w:jc w:val="center"/>
              <w:rPr>
                <w:sz w:val="22"/>
                <w:szCs w:val="22"/>
              </w:rPr>
            </w:pPr>
            <w:r w:rsidRPr="00633B34">
              <w:rPr>
                <w:sz w:val="22"/>
                <w:szCs w:val="22"/>
              </w:rPr>
              <w:t>1.41</w:t>
            </w:r>
          </w:p>
        </w:tc>
        <w:tc>
          <w:tcPr>
            <w:tcW w:w="1329" w:type="dxa"/>
          </w:tcPr>
          <w:p w:rsidR="0096510B" w:rsidRPr="00633B34" w:rsidRDefault="0096510B" w:rsidP="005206BB">
            <w:pPr>
              <w:jc w:val="center"/>
              <w:rPr>
                <w:sz w:val="22"/>
                <w:szCs w:val="22"/>
              </w:rPr>
            </w:pPr>
            <w:r w:rsidRPr="00633B34">
              <w:rPr>
                <w:sz w:val="22"/>
                <w:szCs w:val="22"/>
              </w:rPr>
              <w:t>3.42</w:t>
            </w:r>
          </w:p>
        </w:tc>
      </w:tr>
    </w:tbl>
    <w:p w:rsidR="0096510B" w:rsidRPr="00813FC9" w:rsidRDefault="0096510B" w:rsidP="0096510B">
      <w:pPr>
        <w:rPr>
          <w:b/>
          <w:sz w:val="20"/>
          <w:szCs w:val="20"/>
        </w:rPr>
      </w:pPr>
      <w:r>
        <w:rPr>
          <w:b/>
          <w:sz w:val="20"/>
          <w:szCs w:val="20"/>
        </w:rPr>
        <w:t xml:space="preserve">Sources: </w:t>
      </w:r>
      <w:r w:rsidRPr="00813FC9">
        <w:rPr>
          <w:sz w:val="20"/>
          <w:szCs w:val="20"/>
        </w:rPr>
        <w:t>NPD, models in Tables 2 and 3. R&amp;D</w:t>
      </w:r>
      <w:r>
        <w:rPr>
          <w:b/>
          <w:sz w:val="20"/>
          <w:szCs w:val="20"/>
        </w:rPr>
        <w:t xml:space="preserve"> </w:t>
      </w:r>
      <w:r w:rsidRPr="00813FC9">
        <w:rPr>
          <w:sz w:val="20"/>
          <w:szCs w:val="20"/>
        </w:rPr>
        <w:t>models not reported.</w:t>
      </w:r>
    </w:p>
    <w:p w:rsidR="0096510B" w:rsidRDefault="0096510B" w:rsidP="0096510B">
      <w:pPr>
        <w:rPr>
          <w:rFonts w:ascii="Courier New" w:hAnsi="Courier New" w:cs="Courier New"/>
          <w:b/>
          <w:sz w:val="16"/>
          <w:szCs w:val="16"/>
        </w:rPr>
      </w:pPr>
      <w:r>
        <w:rPr>
          <w:rFonts w:ascii="Courier New" w:hAnsi="Courier New" w:cs="Courier New"/>
          <w:b/>
          <w:sz w:val="16"/>
          <w:szCs w:val="16"/>
        </w:rPr>
        <w:br w:type="page"/>
      </w:r>
    </w:p>
    <w:p w:rsidR="0096510B" w:rsidRDefault="0096510B" w:rsidP="0096510B">
      <w:pPr>
        <w:jc w:val="center"/>
        <w:rPr>
          <w:rFonts w:ascii="Arial" w:hAnsi="Arial" w:cs="Arial"/>
          <w:b/>
          <w:sz w:val="22"/>
          <w:szCs w:val="22"/>
        </w:rPr>
      </w:pPr>
      <w:r w:rsidRPr="00310E3A">
        <w:rPr>
          <w:rFonts w:ascii="Arial" w:hAnsi="Arial" w:cs="Arial"/>
          <w:b/>
          <w:sz w:val="22"/>
          <w:szCs w:val="22"/>
        </w:rPr>
        <w:lastRenderedPageBreak/>
        <w:t>Annex 1: Data Definitions</w:t>
      </w:r>
    </w:p>
    <w:p w:rsidR="00310E3A" w:rsidRPr="00310E3A" w:rsidRDefault="00310E3A" w:rsidP="0096510B">
      <w:pPr>
        <w:jc w:val="center"/>
        <w:rPr>
          <w:rFonts w:ascii="Arial" w:hAnsi="Arial" w:cs="Arial"/>
          <w:b/>
          <w:sz w:val="22"/>
          <w:szCs w:val="22"/>
        </w:rPr>
      </w:pPr>
    </w:p>
    <w:tbl>
      <w:tblPr>
        <w:tblW w:w="8662" w:type="dxa"/>
        <w:tblInd w:w="-318" w:type="dxa"/>
        <w:tblBorders>
          <w:top w:val="single" w:sz="4" w:space="0" w:color="auto"/>
          <w:left w:val="single" w:sz="4" w:space="0" w:color="auto"/>
          <w:bottom w:val="single" w:sz="4" w:space="0" w:color="auto"/>
          <w:right w:val="single" w:sz="4" w:space="0" w:color="auto"/>
          <w:insideV w:val="single" w:sz="8" w:space="0" w:color="auto"/>
        </w:tblBorders>
        <w:tblLayout w:type="fixed"/>
        <w:tblLook w:val="0000" w:firstRow="0" w:lastRow="0" w:firstColumn="0" w:lastColumn="0" w:noHBand="0" w:noVBand="0"/>
      </w:tblPr>
      <w:tblGrid>
        <w:gridCol w:w="2535"/>
        <w:gridCol w:w="6127"/>
      </w:tblGrid>
      <w:tr w:rsidR="0096510B" w:rsidRPr="009D35F8" w:rsidTr="0096510B">
        <w:trPr>
          <w:trHeight w:val="255"/>
        </w:trPr>
        <w:tc>
          <w:tcPr>
            <w:tcW w:w="2535" w:type="dxa"/>
            <w:shd w:val="clear" w:color="auto" w:fill="auto"/>
            <w:noWrap/>
          </w:tcPr>
          <w:p w:rsidR="0096510B" w:rsidRPr="009D35F8" w:rsidRDefault="0096510B" w:rsidP="005206BB">
            <w:r w:rsidRPr="009D35F8">
              <w:t>Innovative sales (new)  (% sales)</w:t>
            </w:r>
          </w:p>
        </w:tc>
        <w:tc>
          <w:tcPr>
            <w:tcW w:w="6127" w:type="dxa"/>
          </w:tcPr>
          <w:p w:rsidR="0096510B" w:rsidRDefault="0096510B" w:rsidP="005206BB">
            <w:r w:rsidRPr="009D35F8">
              <w:t xml:space="preserve">An indicator representing the percentage of firms’ sales at the time of the survey accounted for by products which had been newly introduced over the previous three years. </w:t>
            </w:r>
          </w:p>
          <w:p w:rsidR="00924E0F" w:rsidRPr="009D35F8" w:rsidRDefault="00924E0F" w:rsidP="005206BB"/>
        </w:tc>
      </w:tr>
      <w:tr w:rsidR="0096510B" w:rsidRPr="009D35F8" w:rsidTr="0096510B">
        <w:trPr>
          <w:trHeight w:val="255"/>
        </w:trPr>
        <w:tc>
          <w:tcPr>
            <w:tcW w:w="2535" w:type="dxa"/>
            <w:shd w:val="clear" w:color="auto" w:fill="auto"/>
            <w:noWrap/>
          </w:tcPr>
          <w:p w:rsidR="0096510B" w:rsidRPr="009D35F8" w:rsidRDefault="0096510B" w:rsidP="005206BB">
            <w:r w:rsidRPr="009D35F8">
              <w:t>Innovative sales (new and improved)  (% sales)</w:t>
            </w:r>
          </w:p>
        </w:tc>
        <w:tc>
          <w:tcPr>
            <w:tcW w:w="6127" w:type="dxa"/>
          </w:tcPr>
          <w:p w:rsidR="0096510B" w:rsidRDefault="0096510B" w:rsidP="005206BB">
            <w:r w:rsidRPr="009D35F8">
              <w:t xml:space="preserve">An indicator representing the percentage of firms’ sales at the time of the survey accounted for by products which had been newly introduced or improved over the previous three years. </w:t>
            </w:r>
          </w:p>
          <w:p w:rsidR="00924E0F" w:rsidRPr="009D35F8" w:rsidRDefault="00924E0F" w:rsidP="005206BB"/>
        </w:tc>
      </w:tr>
      <w:tr w:rsidR="0096510B" w:rsidRPr="009D35F8" w:rsidTr="0096510B">
        <w:trPr>
          <w:trHeight w:val="255"/>
        </w:trPr>
        <w:tc>
          <w:tcPr>
            <w:tcW w:w="2535" w:type="dxa"/>
            <w:shd w:val="clear" w:color="auto" w:fill="auto"/>
            <w:noWrap/>
          </w:tcPr>
          <w:p w:rsidR="0096510B" w:rsidRPr="009D35F8" w:rsidRDefault="0096510B" w:rsidP="005206BB">
            <w:r w:rsidRPr="009D35F8">
              <w:t xml:space="preserve">Public support for NPD </w:t>
            </w:r>
          </w:p>
        </w:tc>
        <w:tc>
          <w:tcPr>
            <w:tcW w:w="6127" w:type="dxa"/>
          </w:tcPr>
          <w:p w:rsidR="0096510B" w:rsidRDefault="0096510B" w:rsidP="005206BB">
            <w:r w:rsidRPr="009D35F8">
              <w:t>A binary indicator taking value one if the firm had received government support for NPD over the previous three years.</w:t>
            </w:r>
          </w:p>
          <w:p w:rsidR="00924E0F" w:rsidRPr="009D35F8" w:rsidRDefault="00924E0F" w:rsidP="005206BB"/>
        </w:tc>
      </w:tr>
      <w:tr w:rsidR="0096510B" w:rsidRPr="009D35F8" w:rsidTr="0096510B">
        <w:trPr>
          <w:trHeight w:val="255"/>
        </w:trPr>
        <w:tc>
          <w:tcPr>
            <w:tcW w:w="2535" w:type="dxa"/>
            <w:shd w:val="clear" w:color="auto" w:fill="auto"/>
            <w:noWrap/>
          </w:tcPr>
          <w:p w:rsidR="0096510B" w:rsidRPr="009D35F8" w:rsidRDefault="0096510B" w:rsidP="005206BB">
            <w:r w:rsidRPr="009D35F8">
              <w:t>Public support for R&amp;D</w:t>
            </w:r>
          </w:p>
        </w:tc>
        <w:tc>
          <w:tcPr>
            <w:tcW w:w="6127" w:type="dxa"/>
          </w:tcPr>
          <w:p w:rsidR="0096510B" w:rsidRDefault="0096510B" w:rsidP="005206BB">
            <w:r w:rsidRPr="009D35F8">
              <w:t>A binary indicator taking value one if the firm had received government support for R&amp;D over the previous three years.</w:t>
            </w:r>
          </w:p>
          <w:p w:rsidR="00924E0F" w:rsidRPr="009D35F8" w:rsidRDefault="00924E0F" w:rsidP="005206BB"/>
        </w:tc>
      </w:tr>
      <w:tr w:rsidR="0096510B" w:rsidRPr="009D35F8" w:rsidTr="0096510B">
        <w:trPr>
          <w:trHeight w:val="255"/>
        </w:trPr>
        <w:tc>
          <w:tcPr>
            <w:tcW w:w="2535" w:type="dxa"/>
            <w:shd w:val="clear" w:color="auto" w:fill="auto"/>
            <w:noWrap/>
          </w:tcPr>
          <w:p w:rsidR="0096510B" w:rsidRPr="009D35F8" w:rsidRDefault="0096510B" w:rsidP="005206BB">
            <w:r w:rsidRPr="009D35F8">
              <w:t>In plant R&amp;D</w:t>
            </w:r>
          </w:p>
        </w:tc>
        <w:tc>
          <w:tcPr>
            <w:tcW w:w="6127" w:type="dxa"/>
          </w:tcPr>
          <w:p w:rsidR="0096510B" w:rsidRDefault="0096510B" w:rsidP="005206BB">
            <w:r w:rsidRPr="009D35F8">
              <w:t>A binary indictor taking value one if the firm has an in-house R&amp;D capacity</w:t>
            </w:r>
            <w:r w:rsidR="00924E0F">
              <w:t>.</w:t>
            </w:r>
            <w:r w:rsidRPr="009D35F8">
              <w:t xml:space="preserve"> </w:t>
            </w:r>
          </w:p>
          <w:p w:rsidR="00924E0F" w:rsidRPr="009D35F8" w:rsidRDefault="00924E0F" w:rsidP="005206BB"/>
        </w:tc>
      </w:tr>
      <w:tr w:rsidR="0096510B" w:rsidRPr="009D35F8" w:rsidTr="00224D88">
        <w:trPr>
          <w:trHeight w:val="255"/>
        </w:trPr>
        <w:tc>
          <w:tcPr>
            <w:tcW w:w="2535" w:type="dxa"/>
            <w:shd w:val="clear" w:color="auto" w:fill="auto"/>
            <w:noWrap/>
          </w:tcPr>
          <w:p w:rsidR="0096510B" w:rsidRPr="009D35F8" w:rsidRDefault="0096510B" w:rsidP="00224D88">
            <w:r w:rsidRPr="009D35F8">
              <w:t>Innovation Partnering</w:t>
            </w:r>
          </w:p>
        </w:tc>
        <w:tc>
          <w:tcPr>
            <w:tcW w:w="6127" w:type="dxa"/>
          </w:tcPr>
          <w:p w:rsidR="0096510B" w:rsidRDefault="0096510B" w:rsidP="005206BB">
            <w:r w:rsidRPr="009D35F8">
              <w:t xml:space="preserve">An indicator of the number of the breadth of innovation partnering conducted by the firm. Takes values 0 to 10 depending on how many different types of partner firm is working with: group company, supplier, consultant, client, competitor, joint venture, government laboratory, university, private laboratory, industry research centre. </w:t>
            </w:r>
          </w:p>
          <w:p w:rsidR="00924E0F" w:rsidRPr="009D35F8" w:rsidRDefault="00924E0F" w:rsidP="005206BB"/>
        </w:tc>
      </w:tr>
      <w:tr w:rsidR="0096510B" w:rsidRPr="009D35F8" w:rsidTr="00224D88">
        <w:trPr>
          <w:trHeight w:val="255"/>
        </w:trPr>
        <w:tc>
          <w:tcPr>
            <w:tcW w:w="2535" w:type="dxa"/>
            <w:shd w:val="clear" w:color="auto" w:fill="auto"/>
            <w:noWrap/>
          </w:tcPr>
          <w:p w:rsidR="0096510B" w:rsidRPr="009D35F8" w:rsidRDefault="0096510B" w:rsidP="00224D88">
            <w:r w:rsidRPr="009D35F8">
              <w:t>Percentage with degree</w:t>
            </w:r>
          </w:p>
        </w:tc>
        <w:tc>
          <w:tcPr>
            <w:tcW w:w="6127" w:type="dxa"/>
          </w:tcPr>
          <w:p w:rsidR="0096510B" w:rsidRDefault="0096510B" w:rsidP="005206BB">
            <w:r w:rsidRPr="009D35F8">
              <w:t>Percentage of the workforce with a degree or equivalent qualification</w:t>
            </w:r>
            <w:r w:rsidR="00924E0F">
              <w:t>.</w:t>
            </w:r>
            <w:r w:rsidRPr="009D35F8">
              <w:t xml:space="preserve"> </w:t>
            </w:r>
          </w:p>
          <w:p w:rsidR="00924E0F" w:rsidRPr="009D35F8" w:rsidRDefault="00924E0F" w:rsidP="005206BB"/>
        </w:tc>
      </w:tr>
      <w:tr w:rsidR="0096510B" w:rsidRPr="009D35F8" w:rsidTr="00224D88">
        <w:trPr>
          <w:trHeight w:val="255"/>
        </w:trPr>
        <w:tc>
          <w:tcPr>
            <w:tcW w:w="2535" w:type="dxa"/>
            <w:shd w:val="clear" w:color="auto" w:fill="auto"/>
            <w:noWrap/>
          </w:tcPr>
          <w:p w:rsidR="0096510B" w:rsidRPr="009D35F8" w:rsidRDefault="0096510B" w:rsidP="00224D88">
            <w:pPr>
              <w:rPr>
                <w:bCs/>
              </w:rPr>
            </w:pPr>
            <w:r w:rsidRPr="009D35F8">
              <w:rPr>
                <w:bCs/>
              </w:rPr>
              <w:t>Innovation barrier: technical skills</w:t>
            </w:r>
          </w:p>
        </w:tc>
        <w:tc>
          <w:tcPr>
            <w:tcW w:w="6127" w:type="dxa"/>
          </w:tcPr>
          <w:p w:rsidR="0096510B" w:rsidRDefault="0096510B" w:rsidP="005206BB">
            <w:pPr>
              <w:rPr>
                <w:bCs/>
              </w:rPr>
            </w:pPr>
            <w:r w:rsidRPr="009D35F8">
              <w:rPr>
                <w:bCs/>
              </w:rPr>
              <w:t xml:space="preserve">A dummy variable indicating whether a firm said technical skills were either a ‘major’ or ‘very major’ barrier to innovation. </w:t>
            </w:r>
          </w:p>
          <w:p w:rsidR="00924E0F" w:rsidRPr="009D35F8" w:rsidRDefault="00924E0F" w:rsidP="005206BB">
            <w:pPr>
              <w:rPr>
                <w:bCs/>
              </w:rPr>
            </w:pPr>
          </w:p>
        </w:tc>
      </w:tr>
      <w:tr w:rsidR="0096510B" w:rsidRPr="009D35F8" w:rsidTr="00224D88">
        <w:trPr>
          <w:trHeight w:val="255"/>
        </w:trPr>
        <w:tc>
          <w:tcPr>
            <w:tcW w:w="2535" w:type="dxa"/>
            <w:shd w:val="clear" w:color="auto" w:fill="auto"/>
            <w:noWrap/>
          </w:tcPr>
          <w:p w:rsidR="0096510B" w:rsidRPr="009D35F8" w:rsidRDefault="0096510B" w:rsidP="00224D88">
            <w:pPr>
              <w:rPr>
                <w:bCs/>
              </w:rPr>
            </w:pPr>
            <w:r w:rsidRPr="009D35F8">
              <w:rPr>
                <w:bCs/>
              </w:rPr>
              <w:t xml:space="preserve">Innovation barrier: technical information </w:t>
            </w:r>
          </w:p>
        </w:tc>
        <w:tc>
          <w:tcPr>
            <w:tcW w:w="6127" w:type="dxa"/>
          </w:tcPr>
          <w:p w:rsidR="0096510B" w:rsidRDefault="0096510B" w:rsidP="005206BB">
            <w:pPr>
              <w:rPr>
                <w:bCs/>
              </w:rPr>
            </w:pPr>
            <w:r w:rsidRPr="009D35F8">
              <w:rPr>
                <w:bCs/>
              </w:rPr>
              <w:t xml:space="preserve">A dummy variable indicating whether a firm said a lack of technical information was either a ‘major’ or ‘very major’ barrier to innovation. </w:t>
            </w:r>
          </w:p>
          <w:p w:rsidR="00924E0F" w:rsidRPr="009D35F8" w:rsidRDefault="00924E0F" w:rsidP="005206BB">
            <w:pPr>
              <w:rPr>
                <w:bCs/>
              </w:rPr>
            </w:pPr>
          </w:p>
        </w:tc>
      </w:tr>
      <w:tr w:rsidR="0096510B" w:rsidRPr="009D35F8" w:rsidTr="00224D88">
        <w:trPr>
          <w:trHeight w:val="255"/>
        </w:trPr>
        <w:tc>
          <w:tcPr>
            <w:tcW w:w="2535" w:type="dxa"/>
            <w:shd w:val="clear" w:color="auto" w:fill="auto"/>
            <w:noWrap/>
          </w:tcPr>
          <w:p w:rsidR="0096510B" w:rsidRPr="009D35F8" w:rsidRDefault="0096510B" w:rsidP="00224D88">
            <w:pPr>
              <w:rPr>
                <w:bCs/>
              </w:rPr>
            </w:pPr>
            <w:r w:rsidRPr="009D35F8">
              <w:rPr>
                <w:bCs/>
              </w:rPr>
              <w:t>Innovation barrier: regulation or legislation</w:t>
            </w:r>
          </w:p>
        </w:tc>
        <w:tc>
          <w:tcPr>
            <w:tcW w:w="6127" w:type="dxa"/>
          </w:tcPr>
          <w:p w:rsidR="0096510B" w:rsidRDefault="0096510B" w:rsidP="005206BB">
            <w:pPr>
              <w:rPr>
                <w:bCs/>
              </w:rPr>
            </w:pPr>
            <w:r w:rsidRPr="009D35F8">
              <w:rPr>
                <w:bCs/>
              </w:rPr>
              <w:t xml:space="preserve">A dummy variable indicating whether a firm said regulation or legislation was either a ‘major’ or ‘very major’ barrier to innovation. </w:t>
            </w:r>
          </w:p>
          <w:p w:rsidR="00924E0F" w:rsidRPr="009D35F8" w:rsidRDefault="00924E0F" w:rsidP="005206BB">
            <w:pPr>
              <w:rPr>
                <w:bCs/>
              </w:rPr>
            </w:pPr>
          </w:p>
        </w:tc>
      </w:tr>
      <w:tr w:rsidR="0096510B" w:rsidRPr="009D35F8" w:rsidTr="00224D88">
        <w:trPr>
          <w:trHeight w:val="255"/>
        </w:trPr>
        <w:tc>
          <w:tcPr>
            <w:tcW w:w="2535" w:type="dxa"/>
            <w:shd w:val="clear" w:color="auto" w:fill="auto"/>
            <w:noWrap/>
          </w:tcPr>
          <w:p w:rsidR="0096510B" w:rsidRPr="009D35F8" w:rsidRDefault="0096510B" w:rsidP="00224D88">
            <w:pPr>
              <w:rPr>
                <w:bCs/>
              </w:rPr>
            </w:pPr>
            <w:r w:rsidRPr="009D35F8">
              <w:rPr>
                <w:bCs/>
              </w:rPr>
              <w:t xml:space="preserve">Innovation barrier: finance for innovation </w:t>
            </w:r>
          </w:p>
        </w:tc>
        <w:tc>
          <w:tcPr>
            <w:tcW w:w="6127" w:type="dxa"/>
          </w:tcPr>
          <w:p w:rsidR="0096510B" w:rsidRDefault="0096510B" w:rsidP="005206BB">
            <w:pPr>
              <w:rPr>
                <w:bCs/>
              </w:rPr>
            </w:pPr>
            <w:r w:rsidRPr="009D35F8">
              <w:rPr>
                <w:bCs/>
              </w:rPr>
              <w:t xml:space="preserve">A dummy variable indicating whether a firm said a lack of finance was either a ‘major’ or ‘very major’ barrier to innovation. </w:t>
            </w:r>
          </w:p>
          <w:p w:rsidR="00924E0F" w:rsidRPr="009D35F8" w:rsidRDefault="00924E0F" w:rsidP="005206BB">
            <w:pPr>
              <w:rPr>
                <w:bCs/>
              </w:rPr>
            </w:pPr>
          </w:p>
        </w:tc>
      </w:tr>
      <w:tr w:rsidR="0096510B" w:rsidRPr="009D35F8" w:rsidTr="00224D88">
        <w:trPr>
          <w:trHeight w:val="255"/>
        </w:trPr>
        <w:tc>
          <w:tcPr>
            <w:tcW w:w="2535" w:type="dxa"/>
            <w:shd w:val="clear" w:color="auto" w:fill="auto"/>
            <w:noWrap/>
          </w:tcPr>
          <w:p w:rsidR="0096510B" w:rsidRPr="009D35F8" w:rsidRDefault="0096510B" w:rsidP="00224D88">
            <w:pPr>
              <w:rPr>
                <w:bCs/>
              </w:rPr>
            </w:pPr>
            <w:r w:rsidRPr="009D35F8">
              <w:rPr>
                <w:bCs/>
              </w:rPr>
              <w:lastRenderedPageBreak/>
              <w:t xml:space="preserve">External search </w:t>
            </w:r>
          </w:p>
        </w:tc>
        <w:tc>
          <w:tcPr>
            <w:tcW w:w="6127" w:type="dxa"/>
          </w:tcPr>
          <w:p w:rsidR="0096510B" w:rsidRDefault="0096510B" w:rsidP="005206BB">
            <w:pPr>
              <w:rPr>
                <w:bCs/>
              </w:rPr>
            </w:pPr>
            <w:r w:rsidRPr="009D35F8">
              <w:rPr>
                <w:bCs/>
              </w:rPr>
              <w:t>An indicator of the number of external partner types the firm was working with as part of its innovation activity (takes values 0 to 8)</w:t>
            </w:r>
            <w:r w:rsidR="00924E0F">
              <w:rPr>
                <w:bCs/>
              </w:rPr>
              <w:t>.</w:t>
            </w:r>
          </w:p>
          <w:p w:rsidR="00924E0F" w:rsidRPr="009D35F8" w:rsidRDefault="00924E0F" w:rsidP="005206BB">
            <w:pPr>
              <w:rPr>
                <w:bCs/>
              </w:rPr>
            </w:pPr>
          </w:p>
        </w:tc>
      </w:tr>
      <w:tr w:rsidR="0096510B" w:rsidRPr="009D35F8" w:rsidTr="00224D88">
        <w:trPr>
          <w:trHeight w:val="255"/>
        </w:trPr>
        <w:tc>
          <w:tcPr>
            <w:tcW w:w="2535" w:type="dxa"/>
            <w:shd w:val="clear" w:color="auto" w:fill="auto"/>
            <w:noWrap/>
          </w:tcPr>
          <w:p w:rsidR="0096510B" w:rsidRPr="009D35F8" w:rsidRDefault="0096510B" w:rsidP="00224D88">
            <w:r w:rsidRPr="009D35F8">
              <w:t xml:space="preserve">Exporting firm </w:t>
            </w:r>
          </w:p>
        </w:tc>
        <w:tc>
          <w:tcPr>
            <w:tcW w:w="6127" w:type="dxa"/>
          </w:tcPr>
          <w:p w:rsidR="0096510B" w:rsidRDefault="0096510B" w:rsidP="005206BB">
            <w:r w:rsidRPr="009D35F8">
              <w:t>A binary indicator taking value one if the firm was selling outside the UK and Ireland.</w:t>
            </w:r>
          </w:p>
          <w:p w:rsidR="00924E0F" w:rsidRPr="009D35F8" w:rsidRDefault="00924E0F" w:rsidP="005206BB"/>
        </w:tc>
      </w:tr>
      <w:tr w:rsidR="0096510B" w:rsidRPr="009D35F8" w:rsidTr="00224D88">
        <w:trPr>
          <w:trHeight w:val="255"/>
        </w:trPr>
        <w:tc>
          <w:tcPr>
            <w:tcW w:w="2535" w:type="dxa"/>
            <w:shd w:val="clear" w:color="auto" w:fill="auto"/>
            <w:noWrap/>
          </w:tcPr>
          <w:p w:rsidR="0096510B" w:rsidRPr="009D35F8" w:rsidRDefault="0096510B" w:rsidP="00224D88">
            <w:r w:rsidRPr="009D35F8">
              <w:t>R&amp;D Department</w:t>
            </w:r>
          </w:p>
        </w:tc>
        <w:tc>
          <w:tcPr>
            <w:tcW w:w="6127" w:type="dxa"/>
          </w:tcPr>
          <w:p w:rsidR="0096510B" w:rsidRDefault="0096510B" w:rsidP="005206BB">
            <w:r w:rsidRPr="009D35F8">
              <w:t>A binary indictor taking value one if the firm had a formally organised internal R&amp;D department.</w:t>
            </w:r>
          </w:p>
          <w:p w:rsidR="00924E0F" w:rsidRPr="009D35F8" w:rsidRDefault="00924E0F" w:rsidP="005206BB"/>
        </w:tc>
      </w:tr>
      <w:tr w:rsidR="0096510B" w:rsidRPr="009D35F8" w:rsidTr="00224D88">
        <w:trPr>
          <w:trHeight w:val="255"/>
        </w:trPr>
        <w:tc>
          <w:tcPr>
            <w:tcW w:w="2535" w:type="dxa"/>
            <w:shd w:val="clear" w:color="auto" w:fill="auto"/>
            <w:noWrap/>
          </w:tcPr>
          <w:p w:rsidR="0096510B" w:rsidRPr="009D35F8" w:rsidRDefault="0096510B" w:rsidP="00224D88">
            <w:r w:rsidRPr="009D35F8">
              <w:t xml:space="preserve">Plant vintage </w:t>
            </w:r>
          </w:p>
        </w:tc>
        <w:tc>
          <w:tcPr>
            <w:tcW w:w="6127" w:type="dxa"/>
          </w:tcPr>
          <w:p w:rsidR="0096510B" w:rsidRDefault="0096510B" w:rsidP="005206BB">
            <w:r w:rsidRPr="009D35F8">
              <w:t>The age of the site (in years) at the time of the survey.</w:t>
            </w:r>
          </w:p>
          <w:p w:rsidR="00924E0F" w:rsidRPr="009D35F8" w:rsidRDefault="00924E0F" w:rsidP="005206BB"/>
        </w:tc>
      </w:tr>
      <w:tr w:rsidR="0096510B" w:rsidRPr="009D35F8" w:rsidTr="00224D88">
        <w:trPr>
          <w:trHeight w:val="255"/>
        </w:trPr>
        <w:tc>
          <w:tcPr>
            <w:tcW w:w="2535" w:type="dxa"/>
            <w:shd w:val="clear" w:color="auto" w:fill="auto"/>
            <w:noWrap/>
          </w:tcPr>
          <w:p w:rsidR="0096510B" w:rsidRPr="009D35F8" w:rsidRDefault="0096510B" w:rsidP="00224D88">
            <w:r w:rsidRPr="009D35F8">
              <w:t>Externally owned</w:t>
            </w:r>
          </w:p>
        </w:tc>
        <w:tc>
          <w:tcPr>
            <w:tcW w:w="6127" w:type="dxa"/>
          </w:tcPr>
          <w:p w:rsidR="0096510B" w:rsidRDefault="0096510B" w:rsidP="005206BB">
            <w:r w:rsidRPr="009D35F8">
              <w:t xml:space="preserve">A binary indicator taking value one if the firm was owned outside Ireland at the time of the survey. </w:t>
            </w:r>
          </w:p>
          <w:p w:rsidR="00924E0F" w:rsidRPr="009D35F8" w:rsidRDefault="00924E0F" w:rsidP="005206BB"/>
        </w:tc>
      </w:tr>
      <w:tr w:rsidR="0096510B" w:rsidRPr="009D35F8" w:rsidTr="00224D88">
        <w:trPr>
          <w:trHeight w:val="255"/>
        </w:trPr>
        <w:tc>
          <w:tcPr>
            <w:tcW w:w="2535" w:type="dxa"/>
            <w:shd w:val="clear" w:color="auto" w:fill="auto"/>
            <w:noWrap/>
          </w:tcPr>
          <w:p w:rsidR="0096510B" w:rsidRPr="009D35F8" w:rsidRDefault="0096510B" w:rsidP="00224D88">
            <w:r w:rsidRPr="009D35F8">
              <w:t>Employment</w:t>
            </w:r>
          </w:p>
        </w:tc>
        <w:tc>
          <w:tcPr>
            <w:tcW w:w="6127" w:type="dxa"/>
          </w:tcPr>
          <w:p w:rsidR="0096510B" w:rsidRDefault="0096510B" w:rsidP="005206BB">
            <w:r w:rsidRPr="009D35F8">
              <w:t xml:space="preserve">Employment at the time of the survey. </w:t>
            </w:r>
          </w:p>
          <w:p w:rsidR="00924E0F" w:rsidRPr="009D35F8" w:rsidRDefault="00924E0F" w:rsidP="005206BB"/>
        </w:tc>
      </w:tr>
    </w:tbl>
    <w:p w:rsidR="0096510B" w:rsidRPr="009D35F8" w:rsidRDefault="0096510B" w:rsidP="0096510B"/>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tbl>
      <w:tblPr>
        <w:tblpPr w:leftFromText="180" w:rightFromText="180" w:vertAnchor="page" w:horzAnchor="margin" w:tblpXSpec="center" w:tblpY="2161"/>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608"/>
        <w:gridCol w:w="608"/>
        <w:gridCol w:w="608"/>
        <w:gridCol w:w="608"/>
        <w:gridCol w:w="608"/>
        <w:gridCol w:w="608"/>
        <w:gridCol w:w="608"/>
        <w:gridCol w:w="608"/>
        <w:gridCol w:w="608"/>
        <w:gridCol w:w="608"/>
        <w:gridCol w:w="608"/>
        <w:gridCol w:w="467"/>
      </w:tblGrid>
      <w:tr w:rsidR="00BC5186" w:rsidRPr="00FB1868" w:rsidTr="005A4CC7">
        <w:trPr>
          <w:cantSplit/>
          <w:trHeight w:val="700"/>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lastRenderedPageBreak/>
              <w:t>(12)</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r>
      <w:tr w:rsidR="00BC5186" w:rsidRPr="00FB1868" w:rsidTr="005A4CC7">
        <w:trPr>
          <w:cantSplit/>
          <w:trHeight w:val="681"/>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(11)</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0.000</w:t>
            </w:r>
          </w:p>
        </w:tc>
      </w:tr>
      <w:tr w:rsidR="00BC5186" w:rsidRPr="00FB1868" w:rsidTr="005A4CC7">
        <w:trPr>
          <w:cantSplit/>
          <w:trHeight w:val="705"/>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(10)</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0.060</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0.097</w:t>
            </w:r>
          </w:p>
        </w:tc>
      </w:tr>
      <w:tr w:rsidR="00BC5186" w:rsidRPr="00FB1868" w:rsidTr="005A4CC7">
        <w:trPr>
          <w:cantSplit/>
          <w:trHeight w:val="857"/>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(9)</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-0.024</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-0.029</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-0.013</w:t>
            </w:r>
          </w:p>
        </w:tc>
      </w:tr>
      <w:tr w:rsidR="00BC5186" w:rsidRPr="00FB1868" w:rsidTr="005A4CC7">
        <w:trPr>
          <w:cantSplit/>
          <w:trHeight w:val="827"/>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(8)</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0.393</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-0.064</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-0.009</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-0.094</w:t>
            </w:r>
          </w:p>
        </w:tc>
      </w:tr>
      <w:tr w:rsidR="00BC5186" w:rsidRPr="00FB1868" w:rsidTr="005A4CC7">
        <w:trPr>
          <w:cantSplit/>
          <w:trHeight w:val="839"/>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4497F">
              <w:rPr>
                <w:b/>
                <w:noProof/>
                <w:lang w:val="en-GB" w:eastAsia="en-GB"/>
              </w:rPr>
              <mc:AlternateContent>
                <mc:Choice Requires="wps">
                  <w:drawing>
                    <wp:anchor distT="0" distB="0" distL="114300" distR="114300" simplePos="0" relativeHeight="251672576" behindDoc="0" locked="0" layoutInCell="1" allowOverlap="1" wp14:anchorId="091B57A2" wp14:editId="78FD99D2">
                      <wp:simplePos x="0" y="0"/>
                      <wp:positionH relativeFrom="column">
                        <wp:posOffset>-1577977</wp:posOffset>
                      </wp:positionH>
                      <wp:positionV relativeFrom="paragraph">
                        <wp:posOffset>1803085</wp:posOffset>
                      </wp:positionV>
                      <wp:extent cx="2379665" cy="342900"/>
                      <wp:effectExtent l="8573"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9665" cy="342900"/>
                              </a:xfrm>
                              <a:prstGeom prst="rect">
                                <a:avLst/>
                              </a:prstGeom>
                              <a:solidFill>
                                <a:srgbClr val="FFFFFF"/>
                              </a:solidFill>
                              <a:ln w="9525">
                                <a:noFill/>
                                <a:miter lim="800000"/>
                                <a:headEnd/>
                                <a:tailEnd/>
                              </a:ln>
                            </wps:spPr>
                            <wps:txbx>
                              <w:txbxContent>
                                <w:p w:rsidR="007B4694" w:rsidRPr="00BC5186" w:rsidRDefault="007B4694" w:rsidP="00A8258E">
                                  <w:pPr>
                                    <w:ind w:left="142"/>
                                    <w:jc w:val="center"/>
                                    <w:rPr>
                                      <w:rFonts w:ascii="Arial" w:hAnsi="Arial" w:cs="Arial"/>
                                      <w:b/>
                                      <w:sz w:val="22"/>
                                      <w:szCs w:val="22"/>
                                    </w:rPr>
                                  </w:pPr>
                                  <w:r w:rsidRPr="00BC5186">
                                    <w:rPr>
                                      <w:rFonts w:ascii="Arial" w:hAnsi="Arial" w:cs="Arial"/>
                                      <w:b/>
                                      <w:sz w:val="22"/>
                                      <w:szCs w:val="22"/>
                                    </w:rPr>
                                    <w:t>Annex 2: Correlation 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24.25pt;margin-top:142pt;width:187.4pt;height:2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" stroked="f">
                      <v:textbox>
                        <w:txbxContent>
                          <w:p w:rsidR="007B4694" w:rsidRPr="00BC5186" w:rsidRDefault="007B4694" w:rsidP="00A8258E">
                            <w:pPr>
                              <w:ind w:left="142"/>
                              <w:jc w:val="center"/>
                              <w:rPr>
                                <w:rFonts w:ascii="Arial" w:hAnsi="Arial" w:cs="Arial"/>
                                <w:b/>
                                <w:sz w:val="22"/>
                                <w:szCs w:val="22"/>
                              </w:rPr>
                            </w:pPr>
                            <w:r w:rsidRPr="00BC5186">
                              <w:rPr>
                                <w:rFonts w:ascii="Arial" w:hAnsi="Arial" w:cs="Arial"/>
                                <w:b/>
                                <w:sz w:val="22"/>
                                <w:szCs w:val="22"/>
                              </w:rPr>
                              <w:t>Annex 2: Correlation Matrix</w:t>
                            </w:r>
                          </w:p>
                        </w:txbxContent>
                      </v:textbox>
                    </v:shape>
                  </w:pict>
                </mc:Fallback>
              </mc:AlternateContent>
            </w:r>
            <w:r w:rsidRPr="00FB1868">
              <w:rPr>
                <w:rFonts w:ascii="Calibri" w:hAnsi="Calibri"/>
                <w:color w:val="000000"/>
                <w:lang w:eastAsia="en-GB"/>
              </w:rPr>
              <w:t>(7)</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0.582</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0.436</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-0.038</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-0.016</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-0.034</w:t>
            </w:r>
          </w:p>
        </w:tc>
      </w:tr>
      <w:tr w:rsidR="00BC5186" w:rsidRPr="00FB1868" w:rsidTr="005A4CC7">
        <w:trPr>
          <w:cantSplit/>
          <w:trHeight w:val="837"/>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(6)</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-0.056</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-0.063</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0.023</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0.247</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0.046</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0.298</w:t>
            </w:r>
          </w:p>
        </w:tc>
      </w:tr>
      <w:tr w:rsidR="00BC5186" w:rsidRPr="00FB1868" w:rsidTr="005A4CC7">
        <w:trPr>
          <w:cantSplit/>
          <w:trHeight w:val="849"/>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(5)</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0.133</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-0.022</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-0.025</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0.013</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0.070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0.000</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0.126</w:t>
            </w:r>
          </w:p>
        </w:tc>
      </w:tr>
      <w:tr w:rsidR="00BC5186" w:rsidRPr="00FB1868" w:rsidTr="005A4CC7">
        <w:trPr>
          <w:cantSplit/>
          <w:trHeight w:val="847"/>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(4)</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-0.050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-0.069</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0.619</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0.472</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0.421</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-0.072</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-0.073</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-0.053</w:t>
            </w:r>
          </w:p>
        </w:tc>
      </w:tr>
      <w:tr w:rsidR="00BC5186" w:rsidRPr="00FB1868" w:rsidTr="005A4CC7">
        <w:trPr>
          <w:cantSplit/>
          <w:trHeight w:val="845"/>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(3)</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-0.132</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0.150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0.309</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-0.075</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-0.036</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0.109</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-0.048</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0.399</w:t>
            </w:r>
          </w:p>
        </w:tc>
      </w:tr>
      <w:tr w:rsidR="00BC5186" w:rsidRPr="00FB1868" w:rsidTr="005A4CC7">
        <w:trPr>
          <w:cantSplit/>
          <w:trHeight w:val="829"/>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(2)</w:t>
            </w:r>
          </w:p>
        </w:tc>
        <w:tc>
          <w:tcPr>
            <w:tcW w:w="608" w:type="dxa"/>
            <w:shd w:val="clear" w:color="auto" w:fill="auto"/>
            <w:noWrap/>
            <w:textDirection w:val="btLr"/>
            <w:hideMark/>
          </w:tcPr>
          <w:p w:rsidR="00BC5186" w:rsidRPr="00FB1868" w:rsidRDefault="00BC5186" w:rsidP="005A4CC7">
            <w:pPr>
              <w:ind w:left="113" w:right="113"/>
              <w:jc w:val="center"/>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0.374</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-0.096</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0.120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0.306</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-0.095</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-0.108</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-0.018</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0.161</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-0.145</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0.255</w:t>
            </w:r>
          </w:p>
        </w:tc>
      </w:tr>
      <w:tr w:rsidR="00BC5186" w:rsidRPr="00FB1868" w:rsidTr="005A4CC7">
        <w:trPr>
          <w:cantSplit/>
          <w:trHeight w:val="841"/>
        </w:trPr>
        <w:tc>
          <w:tcPr>
            <w:tcW w:w="608" w:type="dxa"/>
            <w:shd w:val="clear" w:color="auto" w:fill="auto"/>
            <w:noWrap/>
            <w:textDirection w:val="btLr"/>
            <w:hideMark/>
          </w:tcPr>
          <w:p w:rsidR="00BC5186" w:rsidRPr="00FB1868" w:rsidRDefault="00BC5186" w:rsidP="005A4CC7">
            <w:pPr>
              <w:ind w:left="113" w:right="113"/>
              <w:rPr>
                <w:rFonts w:ascii="Calibri" w:hAnsi="Calibri"/>
                <w:color w:val="000000"/>
                <w:lang w:eastAsia="en-GB"/>
              </w:rPr>
            </w:pPr>
            <w:r w:rsidRPr="00FB1868">
              <w:rPr>
                <w:rFonts w:ascii="Calibri" w:hAnsi="Calibri"/>
                <w:color w:val="000000"/>
                <w:lang w:eastAsia="en-GB"/>
              </w:rPr>
              <w:t>(1)</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1.000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0.768</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0.278</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-0.079</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0.133</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0.245</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-0.090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-0.109</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-0.014</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0.175</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-0.132</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0.224</w:t>
            </w:r>
          </w:p>
        </w:tc>
      </w:tr>
      <w:tr w:rsidR="00BC5186" w:rsidRPr="00FB1868" w:rsidTr="005A4CC7">
        <w:trPr>
          <w:cantSplit/>
          <w:trHeight w:val="561"/>
        </w:trPr>
        <w:tc>
          <w:tcPr>
            <w:tcW w:w="608" w:type="dxa"/>
            <w:shd w:val="clear" w:color="auto" w:fill="auto"/>
            <w:noWrap/>
            <w:textDirection w:val="tbRl"/>
            <w:vAlign w:val="bottom"/>
            <w:hideMark/>
          </w:tcPr>
          <w:p w:rsidR="00BC5186" w:rsidRPr="00FB1868" w:rsidRDefault="00BC5186" w:rsidP="005A4CC7">
            <w:pPr>
              <w:ind w:left="113" w:right="113"/>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(2)</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(3)</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(4)</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(5)</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(6)</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(7)</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(8)</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(9)</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(10)</w:t>
            </w:r>
          </w:p>
        </w:tc>
        <w:tc>
          <w:tcPr>
            <w:tcW w:w="608"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(11)</w:t>
            </w:r>
          </w:p>
        </w:tc>
        <w:tc>
          <w:tcPr>
            <w:tcW w:w="467" w:type="dxa"/>
            <w:shd w:val="clear" w:color="auto" w:fill="auto"/>
            <w:noWrap/>
            <w:textDirection w:val="btLr"/>
            <w:hideMark/>
          </w:tcPr>
          <w:p w:rsidR="00BC5186" w:rsidRPr="00FB1868" w:rsidRDefault="00BC5186" w:rsidP="005A4CC7">
            <w:pPr>
              <w:ind w:left="113" w:right="113"/>
              <w:jc w:val="center"/>
              <w:rPr>
                <w:color w:val="000000"/>
                <w:sz w:val="20"/>
                <w:szCs w:val="20"/>
                <w:lang w:eastAsia="en-GB"/>
              </w:rPr>
            </w:pPr>
            <w:r w:rsidRPr="00FB1868">
              <w:rPr>
                <w:color w:val="000000"/>
                <w:sz w:val="20"/>
                <w:szCs w:val="20"/>
                <w:lang w:eastAsia="en-GB"/>
              </w:rPr>
              <w:t>(12)</w:t>
            </w:r>
          </w:p>
        </w:tc>
      </w:tr>
      <w:tr w:rsidR="00BC5186" w:rsidRPr="00FB1868" w:rsidTr="005A4CC7">
        <w:trPr>
          <w:cantSplit/>
          <w:trHeight w:val="2975"/>
        </w:trPr>
        <w:tc>
          <w:tcPr>
            <w:tcW w:w="608" w:type="dxa"/>
            <w:shd w:val="clear" w:color="auto" w:fill="auto"/>
            <w:noWrap/>
            <w:textDirection w:val="tbRl"/>
            <w:vAlign w:val="bottom"/>
            <w:hideMark/>
          </w:tcPr>
          <w:p w:rsidR="00BC5186" w:rsidRPr="00FB1868" w:rsidRDefault="00BC5186" w:rsidP="005A4CC7">
            <w:pPr>
              <w:ind w:left="113" w:right="113"/>
              <w:rPr>
                <w:rFonts w:ascii="Calibri" w:hAnsi="Calibri"/>
                <w:color w:val="000000"/>
                <w:lang w:eastAsia="en-GB"/>
              </w:rPr>
            </w:pPr>
          </w:p>
        </w:tc>
        <w:tc>
          <w:tcPr>
            <w:tcW w:w="608" w:type="dxa"/>
            <w:shd w:val="clear" w:color="auto" w:fill="auto"/>
            <w:noWrap/>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Sales of new products</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Sales of new and improved products</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In-house R&amp;D</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Workforce with degree</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Innovation barrier: Technical skills</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Breadth of external search</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Innovation barrier: Lack technical information</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Innovation barrier: Regulatory or legislative factors</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Innovation barrier: Lack finance for innovation</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Employment</w:t>
            </w:r>
          </w:p>
        </w:tc>
        <w:tc>
          <w:tcPr>
            <w:tcW w:w="608"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Plant vintage (years)</w:t>
            </w:r>
          </w:p>
        </w:tc>
        <w:tc>
          <w:tcPr>
            <w:tcW w:w="467" w:type="dxa"/>
            <w:shd w:val="clear" w:color="auto" w:fill="auto"/>
            <w:textDirection w:val="btLr"/>
            <w:hideMark/>
          </w:tcPr>
          <w:p w:rsidR="00BC5186" w:rsidRPr="00FB1868" w:rsidRDefault="00BC5186" w:rsidP="005A4CC7">
            <w:pPr>
              <w:ind w:left="113" w:right="113"/>
              <w:rPr>
                <w:color w:val="000000"/>
                <w:sz w:val="20"/>
                <w:szCs w:val="20"/>
                <w:lang w:eastAsia="en-GB"/>
              </w:rPr>
            </w:pPr>
            <w:r w:rsidRPr="00FB1868">
              <w:rPr>
                <w:color w:val="000000"/>
                <w:sz w:val="20"/>
                <w:szCs w:val="20"/>
                <w:lang w:eastAsia="en-GB"/>
              </w:rPr>
              <w:t>Pub</w:t>
            </w:r>
            <w:r>
              <w:rPr>
                <w:color w:val="000000"/>
                <w:sz w:val="20"/>
                <w:szCs w:val="20"/>
                <w:lang w:eastAsia="en-GB"/>
              </w:rPr>
              <w:t>l</w:t>
            </w:r>
            <w:r w:rsidRPr="00FB1868">
              <w:rPr>
                <w:color w:val="000000"/>
                <w:sz w:val="20"/>
                <w:szCs w:val="20"/>
                <w:lang w:eastAsia="en-GB"/>
              </w:rPr>
              <w:t>ic support: innovation</w:t>
            </w:r>
          </w:p>
        </w:tc>
      </w:tr>
    </w:tbl>
    <w:p w:rsidR="00286B6E" w:rsidRPr="00286B6E" w:rsidRDefault="00286B6E" w:rsidP="00286B6E">
      <w:pPr>
        <w:spacing w:after="300" w:line="360" w:lineRule="auto"/>
        <w:jc w:val="both"/>
        <w:rPr>
          <w:rFonts w:ascii="Arial" w:hAnsi="Arial" w:cs="Arial"/>
          <w:b/>
          <w:sz w:val="28"/>
          <w:szCs w:val="28"/>
        </w:rPr>
      </w:pPr>
      <w:r w:rsidRPr="00286B6E">
        <w:rPr>
          <w:rFonts w:ascii="Arial" w:hAnsi="Arial" w:cs="Arial"/>
          <w:b/>
          <w:sz w:val="28"/>
          <w:szCs w:val="28"/>
        </w:rPr>
        <w:lastRenderedPageBreak/>
        <w:t>REFERENCES</w:t>
      </w:r>
    </w:p>
    <w:p w:rsidR="00286B6E" w:rsidRPr="00286B6E" w:rsidRDefault="00286B6E" w:rsidP="00286B6E">
      <w:pPr>
        <w:spacing w:after="300" w:line="360" w:lineRule="auto"/>
        <w:jc w:val="both"/>
        <w:rPr>
          <w:rFonts w:ascii="Arial" w:hAnsi="Arial" w:cs="Arial"/>
          <w:noProof/>
          <w:sz w:val="22"/>
          <w:szCs w:val="22"/>
        </w:rPr>
      </w:pPr>
      <w:bookmarkStart w:id="13" w:name="_ENREF_2"/>
      <w:r w:rsidRPr="00286B6E">
        <w:rPr>
          <w:rFonts w:ascii="Arial" w:hAnsi="Arial" w:cs="Arial"/>
          <w:noProof/>
          <w:sz w:val="22"/>
          <w:szCs w:val="22"/>
        </w:rPr>
        <w:t xml:space="preserve">Aerts, K. &amp; Schmidt, T. 2008. Two for the price of one? Additionality effects of R&amp;D subsidies: A comparison between Flanders and Germany. </w:t>
      </w:r>
      <w:r w:rsidRPr="00286B6E">
        <w:rPr>
          <w:rFonts w:ascii="Arial" w:hAnsi="Arial" w:cs="Arial"/>
          <w:i/>
          <w:noProof/>
          <w:sz w:val="22"/>
          <w:szCs w:val="22"/>
        </w:rPr>
        <w:t>Research Policy</w:t>
      </w:r>
      <w:r w:rsidR="00C74300">
        <w:rPr>
          <w:rFonts w:ascii="Arial" w:hAnsi="Arial" w:cs="Arial"/>
          <w:i/>
          <w:noProof/>
          <w:sz w:val="22"/>
          <w:szCs w:val="22"/>
        </w:rPr>
        <w:t xml:space="preserve">. </w:t>
      </w:r>
      <w:r w:rsidRPr="00286B6E">
        <w:rPr>
          <w:rFonts w:ascii="Arial" w:hAnsi="Arial" w:cs="Arial"/>
          <w:noProof/>
          <w:sz w:val="22"/>
          <w:szCs w:val="22"/>
        </w:rPr>
        <w:t>37</w:t>
      </w:r>
      <w:r w:rsidRPr="00286B6E">
        <w:rPr>
          <w:rFonts w:ascii="Arial" w:hAnsi="Arial" w:cs="Arial"/>
          <w:b/>
          <w:noProof/>
          <w:sz w:val="22"/>
          <w:szCs w:val="22"/>
        </w:rPr>
        <w:t>,</w:t>
      </w:r>
      <w:r w:rsidRPr="00286B6E">
        <w:rPr>
          <w:rFonts w:ascii="Arial" w:hAnsi="Arial" w:cs="Arial"/>
          <w:noProof/>
          <w:sz w:val="22"/>
          <w:szCs w:val="22"/>
        </w:rPr>
        <w:t xml:space="preserve"> 806</w:t>
      </w:r>
      <w:r w:rsidR="0043466D">
        <w:rPr>
          <w:rFonts w:ascii="Arial" w:hAnsi="Arial" w:cs="Arial"/>
          <w:noProof/>
          <w:sz w:val="22"/>
          <w:szCs w:val="22"/>
        </w:rPr>
        <w:t>-</w:t>
      </w:r>
      <w:r w:rsidRPr="00286B6E">
        <w:rPr>
          <w:rFonts w:ascii="Arial" w:hAnsi="Arial" w:cs="Arial"/>
          <w:noProof/>
          <w:sz w:val="22"/>
          <w:szCs w:val="22"/>
        </w:rPr>
        <w:t>822.</w:t>
      </w:r>
      <w:bookmarkEnd w:id="13"/>
    </w:p>
    <w:p w:rsidR="00286B6E" w:rsidRPr="00286B6E" w:rsidRDefault="00286B6E" w:rsidP="00286B6E">
      <w:pPr>
        <w:spacing w:after="300" w:line="360" w:lineRule="auto"/>
        <w:jc w:val="both"/>
        <w:rPr>
          <w:rFonts w:ascii="Arial" w:hAnsi="Arial" w:cs="Arial"/>
          <w:noProof/>
          <w:sz w:val="22"/>
          <w:szCs w:val="22"/>
        </w:rPr>
      </w:pPr>
      <w:bookmarkStart w:id="14" w:name="_ENREF_3"/>
      <w:r w:rsidRPr="00286B6E">
        <w:rPr>
          <w:rFonts w:ascii="Arial" w:hAnsi="Arial" w:cs="Arial"/>
          <w:noProof/>
          <w:sz w:val="22"/>
          <w:szCs w:val="22"/>
        </w:rPr>
        <w:t xml:space="preserve">Afcha Chavez, S. M. 2011. Behavioural additionality in the context of regional innovation policy in Spain. </w:t>
      </w:r>
      <w:r w:rsidRPr="00286B6E">
        <w:rPr>
          <w:rFonts w:ascii="Arial" w:hAnsi="Arial" w:cs="Arial"/>
          <w:i/>
          <w:noProof/>
          <w:sz w:val="22"/>
          <w:szCs w:val="22"/>
        </w:rPr>
        <w:t>Innovation-Management Policy &amp; Practice</w:t>
      </w:r>
      <w:r w:rsidR="00C74300">
        <w:rPr>
          <w:rFonts w:ascii="Arial" w:hAnsi="Arial" w:cs="Arial"/>
          <w:i/>
          <w:noProof/>
          <w:sz w:val="22"/>
          <w:szCs w:val="22"/>
        </w:rPr>
        <w:t>.</w:t>
      </w:r>
      <w:r w:rsidRPr="00286B6E">
        <w:rPr>
          <w:rFonts w:ascii="Arial" w:hAnsi="Arial" w:cs="Arial"/>
          <w:noProof/>
          <w:sz w:val="22"/>
          <w:szCs w:val="22"/>
        </w:rPr>
        <w:t xml:space="preserve"> 13</w:t>
      </w:r>
      <w:r w:rsidRPr="00286B6E">
        <w:rPr>
          <w:rFonts w:ascii="Arial" w:hAnsi="Arial" w:cs="Arial"/>
          <w:b/>
          <w:noProof/>
          <w:sz w:val="22"/>
          <w:szCs w:val="22"/>
        </w:rPr>
        <w:t>,</w:t>
      </w:r>
      <w:r w:rsidRPr="00286B6E">
        <w:rPr>
          <w:rFonts w:ascii="Arial" w:hAnsi="Arial" w:cs="Arial"/>
          <w:noProof/>
          <w:sz w:val="22"/>
          <w:szCs w:val="22"/>
        </w:rPr>
        <w:t xml:space="preserve"> 95-110.</w:t>
      </w:r>
      <w:bookmarkEnd w:id="14"/>
    </w:p>
    <w:p w:rsidR="00286B6E" w:rsidRPr="00286B6E" w:rsidRDefault="00286B6E" w:rsidP="00286B6E">
      <w:pPr>
        <w:spacing w:after="300" w:line="360" w:lineRule="auto"/>
        <w:jc w:val="both"/>
        <w:rPr>
          <w:rFonts w:ascii="Arial" w:hAnsi="Arial" w:cs="Arial"/>
          <w:noProof/>
          <w:sz w:val="22"/>
          <w:szCs w:val="22"/>
        </w:rPr>
      </w:pPr>
      <w:bookmarkStart w:id="15" w:name="_ENREF_4"/>
      <w:r w:rsidRPr="00286B6E">
        <w:rPr>
          <w:rFonts w:ascii="Arial" w:hAnsi="Arial" w:cs="Arial"/>
          <w:noProof/>
          <w:sz w:val="22"/>
          <w:szCs w:val="22"/>
        </w:rPr>
        <w:t xml:space="preserve">Ahuja, G. &amp; Katila, R. 2001. </w:t>
      </w:r>
      <w:r w:rsidR="0043466D">
        <w:rPr>
          <w:rFonts w:ascii="Arial" w:hAnsi="Arial" w:cs="Arial"/>
          <w:noProof/>
          <w:sz w:val="22"/>
          <w:szCs w:val="22"/>
        </w:rPr>
        <w:t>T</w:t>
      </w:r>
      <w:r w:rsidR="0043466D" w:rsidRPr="00286B6E">
        <w:rPr>
          <w:rFonts w:ascii="Arial" w:hAnsi="Arial" w:cs="Arial"/>
          <w:noProof/>
          <w:sz w:val="22"/>
          <w:szCs w:val="22"/>
        </w:rPr>
        <w:t xml:space="preserve">echnological acquisitions and the innovation performance of acquiring firms: </w:t>
      </w:r>
      <w:r w:rsidR="0043466D">
        <w:rPr>
          <w:rFonts w:ascii="Arial" w:hAnsi="Arial" w:cs="Arial"/>
          <w:noProof/>
          <w:sz w:val="22"/>
          <w:szCs w:val="22"/>
        </w:rPr>
        <w:t>A</w:t>
      </w:r>
      <w:r w:rsidR="0043466D" w:rsidRPr="00286B6E">
        <w:rPr>
          <w:rFonts w:ascii="Arial" w:hAnsi="Arial" w:cs="Arial"/>
          <w:noProof/>
          <w:sz w:val="22"/>
          <w:szCs w:val="22"/>
        </w:rPr>
        <w:t xml:space="preserve"> longitudinal study</w:t>
      </w:r>
      <w:r w:rsidRPr="00286B6E">
        <w:rPr>
          <w:rFonts w:ascii="Arial" w:hAnsi="Arial" w:cs="Arial"/>
          <w:noProof/>
          <w:sz w:val="22"/>
          <w:szCs w:val="22"/>
        </w:rPr>
        <w:t xml:space="preserve">. </w:t>
      </w:r>
      <w:r w:rsidRPr="00286B6E">
        <w:rPr>
          <w:rFonts w:ascii="Arial" w:hAnsi="Arial" w:cs="Arial"/>
          <w:i/>
          <w:noProof/>
          <w:sz w:val="22"/>
          <w:szCs w:val="22"/>
        </w:rPr>
        <w:t>Strategic Management Journal</w:t>
      </w:r>
      <w:r w:rsidR="00C74300">
        <w:rPr>
          <w:rFonts w:ascii="Arial" w:hAnsi="Arial" w:cs="Arial"/>
          <w:i/>
          <w:noProof/>
          <w:sz w:val="22"/>
          <w:szCs w:val="22"/>
        </w:rPr>
        <w:t xml:space="preserve">. </w:t>
      </w:r>
      <w:r w:rsidRPr="00286B6E">
        <w:rPr>
          <w:rFonts w:ascii="Arial" w:hAnsi="Arial" w:cs="Arial"/>
          <w:noProof/>
          <w:sz w:val="22"/>
          <w:szCs w:val="22"/>
        </w:rPr>
        <w:t>22</w:t>
      </w:r>
      <w:r w:rsidRPr="00286B6E">
        <w:rPr>
          <w:rFonts w:ascii="Arial" w:hAnsi="Arial" w:cs="Arial"/>
          <w:b/>
          <w:noProof/>
          <w:sz w:val="22"/>
          <w:szCs w:val="22"/>
        </w:rPr>
        <w:t>,</w:t>
      </w:r>
      <w:r w:rsidRPr="00286B6E">
        <w:rPr>
          <w:rFonts w:ascii="Arial" w:hAnsi="Arial" w:cs="Arial"/>
          <w:noProof/>
          <w:sz w:val="22"/>
          <w:szCs w:val="22"/>
        </w:rPr>
        <w:t xml:space="preserve"> 197-220.</w:t>
      </w:r>
      <w:bookmarkEnd w:id="15"/>
    </w:p>
    <w:p w:rsidR="00286B6E" w:rsidRPr="00286B6E" w:rsidRDefault="00286B6E" w:rsidP="00286B6E">
      <w:pPr>
        <w:spacing w:after="300" w:line="360" w:lineRule="auto"/>
        <w:jc w:val="both"/>
        <w:rPr>
          <w:rFonts w:ascii="Arial" w:hAnsi="Arial" w:cs="Arial"/>
          <w:noProof/>
          <w:sz w:val="22"/>
          <w:szCs w:val="22"/>
        </w:rPr>
      </w:pPr>
      <w:bookmarkStart w:id="16" w:name="_ENREF_6"/>
      <w:r w:rsidRPr="00286B6E">
        <w:rPr>
          <w:rFonts w:ascii="Arial" w:hAnsi="Arial" w:cs="Arial"/>
          <w:noProof/>
          <w:sz w:val="22"/>
          <w:szCs w:val="22"/>
        </w:rPr>
        <w:t xml:space="preserve">Alecke, B., </w:t>
      </w:r>
      <w:r w:rsidR="0043466D">
        <w:rPr>
          <w:rFonts w:ascii="Arial" w:hAnsi="Arial" w:cs="Arial"/>
          <w:noProof/>
          <w:sz w:val="22"/>
          <w:szCs w:val="22"/>
        </w:rPr>
        <w:t>et al.</w:t>
      </w:r>
      <w:r w:rsidRPr="00286B6E">
        <w:rPr>
          <w:rFonts w:ascii="Arial" w:hAnsi="Arial" w:cs="Arial"/>
          <w:noProof/>
          <w:sz w:val="22"/>
          <w:szCs w:val="22"/>
        </w:rPr>
        <w:t xml:space="preserve"> 2012. </w:t>
      </w:r>
      <w:r w:rsidR="0043466D">
        <w:rPr>
          <w:rFonts w:ascii="Arial" w:hAnsi="Arial" w:cs="Arial"/>
          <w:noProof/>
          <w:sz w:val="22"/>
          <w:szCs w:val="22"/>
        </w:rPr>
        <w:t>D</w:t>
      </w:r>
      <w:r w:rsidR="0043466D" w:rsidRPr="00286B6E">
        <w:rPr>
          <w:rFonts w:ascii="Arial" w:hAnsi="Arial" w:cs="Arial"/>
          <w:noProof/>
          <w:sz w:val="22"/>
          <w:szCs w:val="22"/>
        </w:rPr>
        <w:t xml:space="preserve">oes firm size make a difference? </w:t>
      </w:r>
      <w:r w:rsidR="0043466D">
        <w:rPr>
          <w:rFonts w:ascii="Arial" w:hAnsi="Arial" w:cs="Arial"/>
          <w:noProof/>
          <w:sz w:val="22"/>
          <w:szCs w:val="22"/>
        </w:rPr>
        <w:t>A</w:t>
      </w:r>
      <w:r w:rsidR="0043466D" w:rsidRPr="00286B6E">
        <w:rPr>
          <w:rFonts w:ascii="Arial" w:hAnsi="Arial" w:cs="Arial"/>
          <w:noProof/>
          <w:sz w:val="22"/>
          <w:szCs w:val="22"/>
        </w:rPr>
        <w:t xml:space="preserve">nalysing the effectiveness of R&amp;D subsidies in </w:t>
      </w:r>
      <w:r w:rsidR="0043466D">
        <w:rPr>
          <w:rFonts w:ascii="Arial" w:hAnsi="Arial" w:cs="Arial"/>
          <w:noProof/>
          <w:sz w:val="22"/>
          <w:szCs w:val="22"/>
        </w:rPr>
        <w:t>E</w:t>
      </w:r>
      <w:r w:rsidR="0043466D" w:rsidRPr="00286B6E">
        <w:rPr>
          <w:rFonts w:ascii="Arial" w:hAnsi="Arial" w:cs="Arial"/>
          <w:noProof/>
          <w:sz w:val="22"/>
          <w:szCs w:val="22"/>
        </w:rPr>
        <w:t xml:space="preserve">ast </w:t>
      </w:r>
      <w:r w:rsidR="0043466D">
        <w:rPr>
          <w:rFonts w:ascii="Arial" w:hAnsi="Arial" w:cs="Arial"/>
          <w:noProof/>
          <w:sz w:val="22"/>
          <w:szCs w:val="22"/>
        </w:rPr>
        <w:t>G</w:t>
      </w:r>
      <w:r w:rsidR="0043466D" w:rsidRPr="00286B6E">
        <w:rPr>
          <w:rFonts w:ascii="Arial" w:hAnsi="Arial" w:cs="Arial"/>
          <w:noProof/>
          <w:sz w:val="22"/>
          <w:szCs w:val="22"/>
        </w:rPr>
        <w:t>ermany</w:t>
      </w:r>
      <w:r w:rsidRPr="00286B6E">
        <w:rPr>
          <w:rFonts w:ascii="Arial" w:hAnsi="Arial" w:cs="Arial"/>
          <w:noProof/>
          <w:sz w:val="22"/>
          <w:szCs w:val="22"/>
        </w:rPr>
        <w:t xml:space="preserve">. </w:t>
      </w:r>
      <w:r w:rsidRPr="00286B6E">
        <w:rPr>
          <w:rFonts w:ascii="Arial" w:hAnsi="Arial" w:cs="Arial"/>
          <w:i/>
          <w:noProof/>
          <w:sz w:val="22"/>
          <w:szCs w:val="22"/>
        </w:rPr>
        <w:t>German Economic Review</w:t>
      </w:r>
      <w:r w:rsidR="00C74300">
        <w:rPr>
          <w:rFonts w:ascii="Arial" w:hAnsi="Arial" w:cs="Arial"/>
          <w:i/>
          <w:noProof/>
          <w:sz w:val="22"/>
          <w:szCs w:val="22"/>
        </w:rPr>
        <w:t xml:space="preserve">. </w:t>
      </w:r>
      <w:r w:rsidRPr="00286B6E">
        <w:rPr>
          <w:rFonts w:ascii="Arial" w:hAnsi="Arial" w:cs="Arial"/>
          <w:noProof/>
          <w:sz w:val="22"/>
          <w:szCs w:val="22"/>
        </w:rPr>
        <w:t>13</w:t>
      </w:r>
      <w:r w:rsidRPr="00286B6E">
        <w:rPr>
          <w:rFonts w:ascii="Arial" w:hAnsi="Arial" w:cs="Arial"/>
          <w:b/>
          <w:noProof/>
          <w:sz w:val="22"/>
          <w:szCs w:val="22"/>
        </w:rPr>
        <w:t>,</w:t>
      </w:r>
      <w:r w:rsidRPr="00286B6E">
        <w:rPr>
          <w:rFonts w:ascii="Arial" w:hAnsi="Arial" w:cs="Arial"/>
          <w:noProof/>
          <w:sz w:val="22"/>
          <w:szCs w:val="22"/>
        </w:rPr>
        <w:t xml:space="preserve"> 174-195.</w:t>
      </w:r>
      <w:bookmarkEnd w:id="16"/>
    </w:p>
    <w:p w:rsidR="00286B6E" w:rsidRPr="00286B6E" w:rsidRDefault="00286B6E" w:rsidP="00286B6E">
      <w:pPr>
        <w:spacing w:after="300" w:line="360" w:lineRule="auto"/>
        <w:jc w:val="both"/>
        <w:rPr>
          <w:rFonts w:ascii="Arial" w:hAnsi="Arial" w:cs="Arial"/>
          <w:noProof/>
          <w:sz w:val="22"/>
          <w:szCs w:val="22"/>
        </w:rPr>
      </w:pPr>
      <w:bookmarkStart w:id="17" w:name="_ENREF_7"/>
      <w:r w:rsidRPr="00286B6E">
        <w:rPr>
          <w:rFonts w:ascii="Arial" w:hAnsi="Arial" w:cs="Arial"/>
          <w:noProof/>
          <w:sz w:val="22"/>
          <w:szCs w:val="22"/>
        </w:rPr>
        <w:t xml:space="preserve">Allen, C. R. &amp; Holling, C. S. 2010. Novelty, Adaptive Capacity, and Resilience. </w:t>
      </w:r>
      <w:r w:rsidRPr="00286B6E">
        <w:rPr>
          <w:rFonts w:ascii="Arial" w:hAnsi="Arial" w:cs="Arial"/>
          <w:i/>
          <w:noProof/>
          <w:sz w:val="22"/>
          <w:szCs w:val="22"/>
        </w:rPr>
        <w:t>Ecology and Society</w:t>
      </w:r>
      <w:r w:rsidR="00C74300">
        <w:rPr>
          <w:rFonts w:ascii="Arial" w:hAnsi="Arial" w:cs="Arial"/>
          <w:i/>
          <w:noProof/>
          <w:sz w:val="22"/>
          <w:szCs w:val="22"/>
        </w:rPr>
        <w:t xml:space="preserve">. </w:t>
      </w:r>
      <w:r w:rsidRPr="00286B6E">
        <w:rPr>
          <w:rFonts w:ascii="Arial" w:hAnsi="Arial" w:cs="Arial"/>
          <w:noProof/>
          <w:sz w:val="22"/>
          <w:szCs w:val="22"/>
        </w:rPr>
        <w:t>15.</w:t>
      </w:r>
      <w:bookmarkEnd w:id="17"/>
    </w:p>
    <w:p w:rsidR="00286B6E" w:rsidRPr="00286B6E" w:rsidRDefault="00286B6E" w:rsidP="00286B6E">
      <w:pPr>
        <w:spacing w:after="300" w:line="360" w:lineRule="auto"/>
        <w:jc w:val="both"/>
        <w:rPr>
          <w:rFonts w:ascii="Arial" w:hAnsi="Arial" w:cs="Arial"/>
          <w:noProof/>
          <w:sz w:val="22"/>
          <w:szCs w:val="22"/>
        </w:rPr>
      </w:pPr>
      <w:bookmarkStart w:id="18" w:name="_ENREF_8"/>
      <w:r w:rsidRPr="00286B6E">
        <w:rPr>
          <w:rFonts w:ascii="Arial" w:hAnsi="Arial" w:cs="Arial"/>
          <w:noProof/>
          <w:sz w:val="22"/>
          <w:szCs w:val="22"/>
        </w:rPr>
        <w:t xml:space="preserve">Anthony, S. D., </w:t>
      </w:r>
      <w:r w:rsidR="005071F2">
        <w:rPr>
          <w:rFonts w:ascii="Arial" w:hAnsi="Arial" w:cs="Arial"/>
          <w:noProof/>
          <w:sz w:val="22"/>
          <w:szCs w:val="22"/>
        </w:rPr>
        <w:t>et al</w:t>
      </w:r>
      <w:r w:rsidRPr="00286B6E">
        <w:rPr>
          <w:rFonts w:ascii="Arial" w:hAnsi="Arial" w:cs="Arial"/>
          <w:noProof/>
          <w:sz w:val="22"/>
          <w:szCs w:val="22"/>
        </w:rPr>
        <w:t xml:space="preserve">. 2008. </w:t>
      </w:r>
      <w:r w:rsidR="005071F2">
        <w:rPr>
          <w:rFonts w:ascii="Arial" w:hAnsi="Arial" w:cs="Arial"/>
          <w:i/>
          <w:noProof/>
          <w:sz w:val="22"/>
          <w:szCs w:val="22"/>
        </w:rPr>
        <w:t>T</w:t>
      </w:r>
      <w:r w:rsidR="005071F2" w:rsidRPr="00286B6E">
        <w:rPr>
          <w:rFonts w:ascii="Arial" w:hAnsi="Arial" w:cs="Arial"/>
          <w:i/>
          <w:noProof/>
          <w:sz w:val="22"/>
          <w:szCs w:val="22"/>
        </w:rPr>
        <w:t>he innovators guide to growth - putting disruptive innovation to work</w:t>
      </w:r>
      <w:r w:rsidR="005071F2">
        <w:rPr>
          <w:rFonts w:ascii="Arial" w:hAnsi="Arial" w:cs="Arial"/>
          <w:i/>
          <w:noProof/>
          <w:sz w:val="22"/>
          <w:szCs w:val="22"/>
        </w:rPr>
        <w:t>.</w:t>
      </w:r>
      <w:r w:rsidRPr="00286B6E">
        <w:rPr>
          <w:rFonts w:ascii="Arial" w:hAnsi="Arial" w:cs="Arial"/>
          <w:i/>
          <w:noProof/>
          <w:sz w:val="22"/>
          <w:szCs w:val="22"/>
        </w:rPr>
        <w:t xml:space="preserve"> </w:t>
      </w:r>
      <w:r w:rsidRPr="00286B6E">
        <w:rPr>
          <w:rFonts w:ascii="Arial" w:hAnsi="Arial" w:cs="Arial"/>
          <w:noProof/>
          <w:sz w:val="22"/>
          <w:szCs w:val="22"/>
        </w:rPr>
        <w:t>Boston</w:t>
      </w:r>
      <w:r w:rsidR="00C5761E">
        <w:rPr>
          <w:rFonts w:ascii="Arial" w:hAnsi="Arial" w:cs="Arial"/>
          <w:noProof/>
          <w:sz w:val="22"/>
          <w:szCs w:val="22"/>
        </w:rPr>
        <w:t>,</w:t>
      </w:r>
      <w:r w:rsidRPr="00286B6E">
        <w:rPr>
          <w:rFonts w:ascii="Arial" w:hAnsi="Arial" w:cs="Arial"/>
          <w:noProof/>
          <w:sz w:val="22"/>
          <w:szCs w:val="22"/>
        </w:rPr>
        <w:t xml:space="preserve"> MA</w:t>
      </w:r>
      <w:r w:rsidR="00C74300">
        <w:rPr>
          <w:rFonts w:ascii="Arial" w:hAnsi="Arial" w:cs="Arial"/>
          <w:noProof/>
          <w:sz w:val="22"/>
          <w:szCs w:val="22"/>
        </w:rPr>
        <w:t xml:space="preserve">: </w:t>
      </w:r>
      <w:r w:rsidRPr="00286B6E">
        <w:rPr>
          <w:rFonts w:ascii="Arial" w:hAnsi="Arial" w:cs="Arial"/>
          <w:noProof/>
          <w:sz w:val="22"/>
          <w:szCs w:val="22"/>
        </w:rPr>
        <w:t>Harvard Business Press.</w:t>
      </w:r>
      <w:bookmarkEnd w:id="18"/>
    </w:p>
    <w:p w:rsidR="00286B6E" w:rsidRPr="00286B6E" w:rsidRDefault="00286B6E" w:rsidP="00286B6E">
      <w:pPr>
        <w:spacing w:after="300" w:line="360" w:lineRule="auto"/>
        <w:jc w:val="both"/>
        <w:rPr>
          <w:rFonts w:ascii="Arial" w:hAnsi="Arial" w:cs="Arial"/>
          <w:noProof/>
          <w:sz w:val="22"/>
          <w:szCs w:val="22"/>
        </w:rPr>
      </w:pPr>
      <w:bookmarkStart w:id="19" w:name="_ENREF_9"/>
      <w:r w:rsidRPr="00286B6E">
        <w:rPr>
          <w:rFonts w:ascii="Arial" w:hAnsi="Arial" w:cs="Arial"/>
          <w:noProof/>
          <w:sz w:val="22"/>
          <w:szCs w:val="22"/>
        </w:rPr>
        <w:t xml:space="preserve">Aschhoff, B. 2010. </w:t>
      </w:r>
      <w:r w:rsidR="00C5761E">
        <w:rPr>
          <w:rFonts w:ascii="Arial" w:hAnsi="Arial" w:cs="Arial"/>
          <w:noProof/>
          <w:sz w:val="22"/>
          <w:szCs w:val="22"/>
        </w:rPr>
        <w:t>W</w:t>
      </w:r>
      <w:r w:rsidR="00C5761E" w:rsidRPr="00286B6E">
        <w:rPr>
          <w:rFonts w:ascii="Arial" w:hAnsi="Arial" w:cs="Arial"/>
          <w:noProof/>
          <w:sz w:val="22"/>
          <w:szCs w:val="22"/>
        </w:rPr>
        <w:t>ho gets the money? The dynamics of R&amp;D project subsidies in Germany</w:t>
      </w:r>
      <w:r w:rsidRPr="00286B6E">
        <w:rPr>
          <w:rFonts w:ascii="Arial" w:hAnsi="Arial" w:cs="Arial"/>
          <w:noProof/>
          <w:sz w:val="22"/>
          <w:szCs w:val="22"/>
        </w:rPr>
        <w:t xml:space="preserve">. </w:t>
      </w:r>
      <w:r w:rsidRPr="00286B6E">
        <w:rPr>
          <w:rFonts w:ascii="Arial" w:hAnsi="Arial" w:cs="Arial"/>
          <w:i/>
          <w:noProof/>
          <w:sz w:val="22"/>
          <w:szCs w:val="22"/>
        </w:rPr>
        <w:t xml:space="preserve">Jahrbucher </w:t>
      </w:r>
      <w:r w:rsidR="00597978">
        <w:rPr>
          <w:rFonts w:ascii="Arial" w:hAnsi="Arial" w:cs="Arial"/>
          <w:i/>
          <w:noProof/>
          <w:sz w:val="22"/>
          <w:szCs w:val="22"/>
        </w:rPr>
        <w:t>f</w:t>
      </w:r>
      <w:r w:rsidRPr="00286B6E">
        <w:rPr>
          <w:rFonts w:ascii="Arial" w:hAnsi="Arial" w:cs="Arial"/>
          <w:i/>
          <w:noProof/>
          <w:sz w:val="22"/>
          <w:szCs w:val="22"/>
        </w:rPr>
        <w:t xml:space="preserve">ur Nationalokonomie </w:t>
      </w:r>
      <w:r w:rsidR="00597978">
        <w:rPr>
          <w:rFonts w:ascii="Arial" w:hAnsi="Arial" w:cs="Arial"/>
          <w:i/>
          <w:noProof/>
          <w:sz w:val="22"/>
          <w:szCs w:val="22"/>
        </w:rPr>
        <w:t>u</w:t>
      </w:r>
      <w:r w:rsidRPr="00286B6E">
        <w:rPr>
          <w:rFonts w:ascii="Arial" w:hAnsi="Arial" w:cs="Arial"/>
          <w:i/>
          <w:noProof/>
          <w:sz w:val="22"/>
          <w:szCs w:val="22"/>
        </w:rPr>
        <w:t>nd Statistik</w:t>
      </w:r>
      <w:r w:rsidR="00C74300">
        <w:rPr>
          <w:rFonts w:ascii="Arial" w:hAnsi="Arial" w:cs="Arial"/>
          <w:i/>
          <w:noProof/>
          <w:sz w:val="22"/>
          <w:szCs w:val="22"/>
        </w:rPr>
        <w:t>.</w:t>
      </w:r>
      <w:r w:rsidRPr="00286B6E">
        <w:rPr>
          <w:rFonts w:ascii="Arial" w:hAnsi="Arial" w:cs="Arial"/>
          <w:noProof/>
          <w:sz w:val="22"/>
          <w:szCs w:val="22"/>
        </w:rPr>
        <w:t xml:space="preserve"> 230</w:t>
      </w:r>
      <w:r w:rsidRPr="00286B6E">
        <w:rPr>
          <w:rFonts w:ascii="Arial" w:hAnsi="Arial" w:cs="Arial"/>
          <w:b/>
          <w:noProof/>
          <w:sz w:val="22"/>
          <w:szCs w:val="22"/>
        </w:rPr>
        <w:t>,</w:t>
      </w:r>
      <w:r w:rsidRPr="00286B6E">
        <w:rPr>
          <w:rFonts w:ascii="Arial" w:hAnsi="Arial" w:cs="Arial"/>
          <w:noProof/>
          <w:sz w:val="22"/>
          <w:szCs w:val="22"/>
        </w:rPr>
        <w:t xml:space="preserve"> 522-546.</w:t>
      </w:r>
      <w:bookmarkEnd w:id="19"/>
    </w:p>
    <w:p w:rsidR="00286B6E" w:rsidRPr="00286B6E" w:rsidRDefault="00286B6E" w:rsidP="00286B6E">
      <w:pPr>
        <w:spacing w:after="300" w:line="360" w:lineRule="auto"/>
        <w:jc w:val="both"/>
        <w:rPr>
          <w:rFonts w:ascii="Arial" w:hAnsi="Arial" w:cs="Arial"/>
          <w:noProof/>
          <w:sz w:val="22"/>
          <w:szCs w:val="22"/>
        </w:rPr>
      </w:pPr>
      <w:bookmarkStart w:id="20" w:name="_ENREF_10"/>
      <w:r w:rsidRPr="00286B6E">
        <w:rPr>
          <w:rFonts w:ascii="Arial" w:hAnsi="Arial" w:cs="Arial"/>
          <w:noProof/>
          <w:sz w:val="22"/>
          <w:szCs w:val="22"/>
        </w:rPr>
        <w:t xml:space="preserve">Aschhoff, B. &amp; Fier, A. 2005. </w:t>
      </w:r>
      <w:r w:rsidR="00CC7157">
        <w:rPr>
          <w:rFonts w:ascii="Arial" w:hAnsi="Arial" w:cs="Arial"/>
          <w:noProof/>
          <w:sz w:val="22"/>
          <w:szCs w:val="22"/>
        </w:rPr>
        <w:t>B</w:t>
      </w:r>
      <w:r w:rsidR="00CC7157" w:rsidRPr="00286B6E">
        <w:rPr>
          <w:rFonts w:ascii="Arial" w:hAnsi="Arial" w:cs="Arial"/>
          <w:noProof/>
          <w:sz w:val="22"/>
          <w:szCs w:val="22"/>
        </w:rPr>
        <w:t>ehavioural additionality - government financing of business R&amp;D methodological approaches and findings in Germany.</w:t>
      </w:r>
      <w:r w:rsidRPr="00286B6E">
        <w:rPr>
          <w:rFonts w:ascii="Arial" w:hAnsi="Arial" w:cs="Arial"/>
          <w:noProof/>
          <w:sz w:val="22"/>
          <w:szCs w:val="22"/>
        </w:rPr>
        <w:t xml:space="preserve"> </w:t>
      </w:r>
      <w:r w:rsidRPr="00286B6E">
        <w:rPr>
          <w:rFonts w:ascii="Arial" w:hAnsi="Arial" w:cs="Arial"/>
          <w:i/>
          <w:noProof/>
          <w:sz w:val="22"/>
          <w:szCs w:val="22"/>
        </w:rPr>
        <w:t xml:space="preserve">In: </w:t>
      </w:r>
      <w:r w:rsidR="00C74300">
        <w:rPr>
          <w:rFonts w:ascii="Arial" w:hAnsi="Arial" w:cs="Arial"/>
          <w:noProof/>
          <w:sz w:val="22"/>
          <w:szCs w:val="22"/>
        </w:rPr>
        <w:t xml:space="preserve"> OECD Workshop, January </w:t>
      </w:r>
      <w:r w:rsidRPr="00286B6E">
        <w:rPr>
          <w:rFonts w:ascii="Arial" w:hAnsi="Arial" w:cs="Arial"/>
          <w:noProof/>
          <w:sz w:val="22"/>
          <w:szCs w:val="22"/>
        </w:rPr>
        <w:t>2005 Austria.</w:t>
      </w:r>
      <w:bookmarkEnd w:id="20"/>
    </w:p>
    <w:p w:rsidR="00742703" w:rsidRDefault="00286B6E" w:rsidP="00286B6E">
      <w:pPr>
        <w:spacing w:after="300" w:line="360" w:lineRule="auto"/>
        <w:jc w:val="both"/>
        <w:rPr>
          <w:rFonts w:ascii="Arial" w:hAnsi="Arial" w:cs="Arial"/>
          <w:noProof/>
          <w:sz w:val="22"/>
          <w:szCs w:val="22"/>
        </w:rPr>
      </w:pPr>
      <w:bookmarkStart w:id="21" w:name="_ENREF_11"/>
      <w:r w:rsidRPr="00286B6E">
        <w:rPr>
          <w:rFonts w:ascii="Arial" w:hAnsi="Arial" w:cs="Arial"/>
          <w:noProof/>
          <w:sz w:val="22"/>
          <w:szCs w:val="22"/>
        </w:rPr>
        <w:t xml:space="preserve">Atkeson &amp; Kehoe 2005. Modelling and Measuring Organization Capital. </w:t>
      </w:r>
      <w:r w:rsidRPr="00286B6E">
        <w:rPr>
          <w:rFonts w:ascii="Arial" w:hAnsi="Arial" w:cs="Arial"/>
          <w:i/>
          <w:noProof/>
          <w:sz w:val="22"/>
          <w:szCs w:val="22"/>
        </w:rPr>
        <w:t>Journal of Political Economy</w:t>
      </w:r>
      <w:r w:rsidR="00C74300">
        <w:rPr>
          <w:rFonts w:ascii="Arial" w:hAnsi="Arial" w:cs="Arial"/>
          <w:i/>
          <w:noProof/>
          <w:sz w:val="22"/>
          <w:szCs w:val="22"/>
        </w:rPr>
        <w:t>.</w:t>
      </w:r>
      <w:r w:rsidRPr="00286B6E">
        <w:rPr>
          <w:rFonts w:ascii="Arial" w:hAnsi="Arial" w:cs="Arial"/>
          <w:noProof/>
          <w:sz w:val="22"/>
          <w:szCs w:val="22"/>
        </w:rPr>
        <w:t xml:space="preserve"> 113</w:t>
      </w:r>
      <w:r w:rsidRPr="00286B6E">
        <w:rPr>
          <w:rFonts w:ascii="Arial" w:hAnsi="Arial" w:cs="Arial"/>
          <w:b/>
          <w:noProof/>
          <w:sz w:val="22"/>
          <w:szCs w:val="22"/>
        </w:rPr>
        <w:t>,</w:t>
      </w:r>
      <w:r w:rsidRPr="00286B6E">
        <w:rPr>
          <w:rFonts w:ascii="Arial" w:hAnsi="Arial" w:cs="Arial"/>
          <w:noProof/>
          <w:sz w:val="22"/>
          <w:szCs w:val="22"/>
        </w:rPr>
        <w:t xml:space="preserve"> 1026-1053.</w:t>
      </w:r>
      <w:bookmarkEnd w:id="21"/>
    </w:p>
    <w:p w:rsidR="00286B6E" w:rsidRPr="00286B6E" w:rsidRDefault="00742703" w:rsidP="00286B6E">
      <w:pPr>
        <w:spacing w:after="300" w:line="360" w:lineRule="auto"/>
        <w:jc w:val="both"/>
        <w:rPr>
          <w:rFonts w:ascii="Arial" w:hAnsi="Arial" w:cs="Arial"/>
          <w:sz w:val="22"/>
          <w:szCs w:val="22"/>
        </w:rPr>
      </w:pPr>
      <w:bookmarkStart w:id="22" w:name="_ENREF_12"/>
      <w:r>
        <w:rPr>
          <w:rFonts w:ascii="Arial" w:hAnsi="Arial" w:cs="Arial"/>
          <w:sz w:val="22"/>
          <w:szCs w:val="22"/>
        </w:rPr>
        <w:br/>
      </w:r>
      <w:r w:rsidR="00F31FC1">
        <w:rPr>
          <w:rFonts w:ascii="Arial" w:hAnsi="Arial" w:cs="Arial"/>
          <w:sz w:val="22"/>
          <w:szCs w:val="22"/>
        </w:rPr>
        <w:lastRenderedPageBreak/>
        <w:t xml:space="preserve">Bach, L. &amp; Matt, M. </w:t>
      </w:r>
      <w:r w:rsidR="00286B6E" w:rsidRPr="00286B6E">
        <w:rPr>
          <w:rFonts w:ascii="Arial" w:hAnsi="Arial" w:cs="Arial"/>
          <w:sz w:val="22"/>
          <w:szCs w:val="22"/>
        </w:rPr>
        <w:t xml:space="preserve">2002. Rationale for </w:t>
      </w:r>
      <w:r w:rsidR="00F31FC1">
        <w:rPr>
          <w:rFonts w:ascii="Arial" w:hAnsi="Arial" w:cs="Arial"/>
          <w:sz w:val="22"/>
          <w:szCs w:val="22"/>
        </w:rPr>
        <w:t>Science and Technology Policy. I</w:t>
      </w:r>
      <w:r w:rsidR="00286B6E" w:rsidRPr="00286B6E">
        <w:rPr>
          <w:rFonts w:ascii="Arial" w:hAnsi="Arial" w:cs="Arial"/>
          <w:sz w:val="22"/>
          <w:szCs w:val="22"/>
        </w:rPr>
        <w:t xml:space="preserve">n: </w:t>
      </w:r>
      <w:r w:rsidR="00AC1A5A">
        <w:rPr>
          <w:rFonts w:ascii="Arial" w:hAnsi="Arial" w:cs="Arial"/>
          <w:sz w:val="22"/>
          <w:szCs w:val="22"/>
        </w:rPr>
        <w:t xml:space="preserve">Georghiou, L., </w:t>
      </w:r>
      <w:r w:rsidR="00F31FC1">
        <w:rPr>
          <w:rFonts w:ascii="Arial" w:hAnsi="Arial" w:cs="Arial"/>
          <w:sz w:val="22"/>
          <w:szCs w:val="22"/>
        </w:rPr>
        <w:t>Rigby, J.</w:t>
      </w:r>
      <w:r w:rsidR="006900CA">
        <w:rPr>
          <w:rFonts w:ascii="Arial" w:hAnsi="Arial" w:cs="Arial"/>
          <w:sz w:val="22"/>
          <w:szCs w:val="22"/>
        </w:rPr>
        <w:t>, Cameron, H.,</w:t>
      </w:r>
      <w:r w:rsidR="00F31FC1">
        <w:rPr>
          <w:rFonts w:ascii="Arial" w:hAnsi="Arial" w:cs="Arial"/>
          <w:sz w:val="22"/>
          <w:szCs w:val="22"/>
        </w:rPr>
        <w:t xml:space="preserve"> eds. </w:t>
      </w:r>
      <w:r w:rsidR="00286B6E" w:rsidRPr="00F31FC1">
        <w:rPr>
          <w:rFonts w:ascii="Arial" w:hAnsi="Arial" w:cs="Arial"/>
          <w:i/>
          <w:iCs/>
          <w:sz w:val="22"/>
          <w:szCs w:val="22"/>
        </w:rPr>
        <w:t>Assessing the Socio-Economic Impacts of the Framework Programme</w:t>
      </w:r>
      <w:r w:rsidR="00104EFE">
        <w:rPr>
          <w:rFonts w:ascii="Arial" w:hAnsi="Arial" w:cs="Arial"/>
          <w:i/>
          <w:iCs/>
          <w:sz w:val="22"/>
          <w:szCs w:val="22"/>
        </w:rPr>
        <w:t xml:space="preserve"> (ASIF)</w:t>
      </w:r>
      <w:r w:rsidR="00F31FC1">
        <w:rPr>
          <w:rFonts w:ascii="Arial" w:hAnsi="Arial" w:cs="Arial"/>
          <w:sz w:val="22"/>
          <w:szCs w:val="22"/>
        </w:rPr>
        <w:t>.</w:t>
      </w:r>
      <w:r w:rsidR="00286B6E" w:rsidRPr="00286B6E">
        <w:rPr>
          <w:rFonts w:ascii="Arial" w:hAnsi="Arial" w:cs="Arial"/>
          <w:sz w:val="22"/>
          <w:szCs w:val="22"/>
        </w:rPr>
        <w:t xml:space="preserve"> Report to </w:t>
      </w:r>
      <w:r w:rsidR="00104EFE">
        <w:rPr>
          <w:rFonts w:ascii="Arial" w:hAnsi="Arial" w:cs="Arial"/>
          <w:sz w:val="22"/>
          <w:szCs w:val="22"/>
        </w:rPr>
        <w:t>European Commission DG Research.</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Bakhshi, H., </w:t>
      </w:r>
      <w:r w:rsidR="00E62A84">
        <w:rPr>
          <w:rFonts w:ascii="Arial" w:hAnsi="Arial" w:cs="Arial"/>
          <w:noProof/>
          <w:sz w:val="22"/>
          <w:szCs w:val="22"/>
        </w:rPr>
        <w:t>et al</w:t>
      </w:r>
      <w:r w:rsidRPr="00286B6E">
        <w:rPr>
          <w:rFonts w:ascii="Arial" w:hAnsi="Arial" w:cs="Arial"/>
          <w:noProof/>
          <w:sz w:val="22"/>
          <w:szCs w:val="22"/>
        </w:rPr>
        <w:t xml:space="preserve">. 2012. An experimental approach to industrial policy evaluation: the case of Creative Credits. </w:t>
      </w:r>
      <w:r w:rsidRPr="00286B6E">
        <w:rPr>
          <w:rFonts w:ascii="Arial" w:hAnsi="Arial" w:cs="Arial"/>
          <w:i/>
          <w:noProof/>
          <w:sz w:val="22"/>
          <w:szCs w:val="22"/>
        </w:rPr>
        <w:t>British and Irish regional science association conference.</w:t>
      </w:r>
      <w:r w:rsidRPr="00286B6E">
        <w:rPr>
          <w:rFonts w:ascii="Arial" w:hAnsi="Arial" w:cs="Arial"/>
          <w:noProof/>
          <w:sz w:val="22"/>
          <w:szCs w:val="22"/>
        </w:rPr>
        <w:t xml:space="preserve"> Galway.</w:t>
      </w:r>
      <w:bookmarkEnd w:id="22"/>
    </w:p>
    <w:p w:rsidR="00286B6E" w:rsidRPr="00286B6E" w:rsidRDefault="00286B6E" w:rsidP="00286B6E">
      <w:pPr>
        <w:spacing w:after="300" w:line="360" w:lineRule="auto"/>
        <w:jc w:val="both"/>
        <w:rPr>
          <w:rFonts w:ascii="Arial" w:hAnsi="Arial" w:cs="Arial"/>
          <w:noProof/>
          <w:sz w:val="22"/>
          <w:szCs w:val="22"/>
        </w:rPr>
      </w:pPr>
      <w:bookmarkStart w:id="23" w:name="_ENREF_13"/>
      <w:r w:rsidRPr="00286B6E">
        <w:rPr>
          <w:rFonts w:ascii="Arial" w:hAnsi="Arial" w:cs="Arial"/>
          <w:noProof/>
          <w:sz w:val="22"/>
          <w:szCs w:val="22"/>
        </w:rPr>
        <w:t xml:space="preserve">Bartezzaghi, E., </w:t>
      </w:r>
      <w:r w:rsidR="00E62A84">
        <w:rPr>
          <w:rFonts w:ascii="Arial" w:hAnsi="Arial" w:cs="Arial"/>
          <w:noProof/>
          <w:sz w:val="22"/>
          <w:szCs w:val="22"/>
        </w:rPr>
        <w:t>et al</w:t>
      </w:r>
      <w:r w:rsidRPr="00286B6E">
        <w:rPr>
          <w:rFonts w:ascii="Arial" w:hAnsi="Arial" w:cs="Arial"/>
          <w:noProof/>
          <w:sz w:val="22"/>
          <w:szCs w:val="22"/>
        </w:rPr>
        <w:t xml:space="preserve">. 1997. Continuous improvement and inter-project learning in new product development. </w:t>
      </w:r>
      <w:r w:rsidRPr="00286B6E">
        <w:rPr>
          <w:rFonts w:ascii="Arial" w:hAnsi="Arial" w:cs="Arial"/>
          <w:i/>
          <w:noProof/>
          <w:sz w:val="22"/>
          <w:szCs w:val="22"/>
        </w:rPr>
        <w:t xml:space="preserve">International Journal </w:t>
      </w:r>
      <w:r w:rsidR="00E62A84">
        <w:rPr>
          <w:rFonts w:ascii="Arial" w:hAnsi="Arial" w:cs="Arial"/>
          <w:i/>
          <w:noProof/>
          <w:sz w:val="22"/>
          <w:szCs w:val="22"/>
        </w:rPr>
        <w:t>o</w:t>
      </w:r>
      <w:r w:rsidRPr="00286B6E">
        <w:rPr>
          <w:rFonts w:ascii="Arial" w:hAnsi="Arial" w:cs="Arial"/>
          <w:i/>
          <w:noProof/>
          <w:sz w:val="22"/>
          <w:szCs w:val="22"/>
        </w:rPr>
        <w:t>f Technology Management</w:t>
      </w:r>
      <w:r w:rsidR="00C74300">
        <w:rPr>
          <w:rFonts w:ascii="Arial" w:hAnsi="Arial" w:cs="Arial"/>
          <w:i/>
          <w:noProof/>
          <w:sz w:val="22"/>
          <w:szCs w:val="22"/>
        </w:rPr>
        <w:t>.</w:t>
      </w:r>
      <w:r w:rsidRPr="00286B6E">
        <w:rPr>
          <w:rFonts w:ascii="Arial" w:hAnsi="Arial" w:cs="Arial"/>
          <w:noProof/>
          <w:sz w:val="22"/>
          <w:szCs w:val="22"/>
        </w:rPr>
        <w:t xml:space="preserve"> 14</w:t>
      </w:r>
      <w:r w:rsidRPr="00286B6E">
        <w:rPr>
          <w:rFonts w:ascii="Arial" w:hAnsi="Arial" w:cs="Arial"/>
          <w:b/>
          <w:noProof/>
          <w:sz w:val="22"/>
          <w:szCs w:val="22"/>
        </w:rPr>
        <w:t>,</w:t>
      </w:r>
      <w:r w:rsidRPr="00286B6E">
        <w:rPr>
          <w:rFonts w:ascii="Arial" w:hAnsi="Arial" w:cs="Arial"/>
          <w:noProof/>
          <w:sz w:val="22"/>
          <w:szCs w:val="22"/>
        </w:rPr>
        <w:t xml:space="preserve"> 116-138.</w:t>
      </w:r>
      <w:bookmarkEnd w:id="23"/>
    </w:p>
    <w:p w:rsidR="00286B6E" w:rsidRPr="00286B6E" w:rsidRDefault="00286B6E" w:rsidP="00286B6E">
      <w:pPr>
        <w:spacing w:after="300" w:line="360" w:lineRule="auto"/>
        <w:jc w:val="both"/>
        <w:rPr>
          <w:rFonts w:ascii="Arial" w:hAnsi="Arial" w:cs="Arial"/>
          <w:sz w:val="22"/>
          <w:szCs w:val="22"/>
        </w:rPr>
      </w:pPr>
      <w:bookmarkStart w:id="24" w:name="_ENREF_14"/>
      <w:r w:rsidRPr="00286B6E">
        <w:rPr>
          <w:rFonts w:ascii="Arial" w:hAnsi="Arial" w:cs="Arial"/>
          <w:sz w:val="22"/>
          <w:szCs w:val="22"/>
        </w:rPr>
        <w:t>Baum, J.A.C.</w:t>
      </w:r>
      <w:r w:rsidR="002A3817">
        <w:rPr>
          <w:rFonts w:ascii="Arial" w:hAnsi="Arial" w:cs="Arial"/>
          <w:sz w:val="22"/>
          <w:szCs w:val="22"/>
        </w:rPr>
        <w:t>,</w:t>
      </w:r>
      <w:r w:rsidRPr="00286B6E">
        <w:rPr>
          <w:rFonts w:ascii="Arial" w:hAnsi="Arial" w:cs="Arial"/>
          <w:sz w:val="22"/>
          <w:szCs w:val="22"/>
        </w:rPr>
        <w:t xml:space="preserve"> McEvily, B. &amp; Rowley T.J. 2012. </w:t>
      </w:r>
      <w:r w:rsidR="002A3817">
        <w:rPr>
          <w:rFonts w:ascii="Arial" w:hAnsi="Arial" w:cs="Arial"/>
          <w:sz w:val="22"/>
          <w:szCs w:val="22"/>
        </w:rPr>
        <w:t>B</w:t>
      </w:r>
      <w:r w:rsidR="002A3817" w:rsidRPr="00286B6E">
        <w:rPr>
          <w:rFonts w:ascii="Arial" w:hAnsi="Arial" w:cs="Arial"/>
          <w:sz w:val="22"/>
          <w:szCs w:val="22"/>
        </w:rPr>
        <w:t>etter with age? Tie longevity and the performance implications of bridging and closure</w:t>
      </w:r>
      <w:r w:rsidRPr="00286B6E">
        <w:rPr>
          <w:rFonts w:ascii="Arial" w:hAnsi="Arial" w:cs="Arial"/>
          <w:sz w:val="22"/>
          <w:szCs w:val="22"/>
        </w:rPr>
        <w:t xml:space="preserve">. </w:t>
      </w:r>
      <w:r w:rsidRPr="002A3817">
        <w:rPr>
          <w:rFonts w:ascii="Arial" w:hAnsi="Arial" w:cs="Arial"/>
          <w:i/>
          <w:sz w:val="22"/>
          <w:szCs w:val="22"/>
        </w:rPr>
        <w:t>Organization Science</w:t>
      </w:r>
      <w:r w:rsidR="00C74300">
        <w:rPr>
          <w:rFonts w:ascii="Arial" w:hAnsi="Arial" w:cs="Arial"/>
          <w:sz w:val="22"/>
          <w:szCs w:val="22"/>
        </w:rPr>
        <w:t>.</w:t>
      </w:r>
      <w:r w:rsidRPr="00286B6E">
        <w:rPr>
          <w:rFonts w:ascii="Arial" w:hAnsi="Arial" w:cs="Arial"/>
          <w:sz w:val="22"/>
          <w:szCs w:val="22"/>
        </w:rPr>
        <w:t xml:space="preserve"> </w:t>
      </w:r>
      <w:r w:rsidR="002A3817">
        <w:rPr>
          <w:rFonts w:ascii="Arial" w:hAnsi="Arial" w:cs="Arial"/>
          <w:bCs/>
          <w:sz w:val="22"/>
          <w:szCs w:val="22"/>
        </w:rPr>
        <w:t>23(</w:t>
      </w:r>
      <w:r w:rsidR="002A3817">
        <w:rPr>
          <w:rFonts w:ascii="Arial" w:hAnsi="Arial" w:cs="Arial"/>
          <w:sz w:val="22"/>
          <w:szCs w:val="22"/>
        </w:rPr>
        <w:t>2)</w:t>
      </w:r>
      <w:r w:rsidRPr="00286B6E">
        <w:rPr>
          <w:rFonts w:ascii="Arial" w:hAnsi="Arial" w:cs="Arial"/>
          <w:sz w:val="22"/>
          <w:szCs w:val="22"/>
        </w:rPr>
        <w:t xml:space="preserve"> 529-546.</w:t>
      </w:r>
    </w:p>
    <w:p w:rsidR="00286B6E" w:rsidRPr="00286B6E" w:rsidRDefault="00286B6E" w:rsidP="00286B6E">
      <w:pPr>
        <w:spacing w:after="300" w:line="360" w:lineRule="auto"/>
        <w:jc w:val="both"/>
        <w:rPr>
          <w:rFonts w:ascii="Arial" w:hAnsi="Arial" w:cs="Arial"/>
          <w:noProof/>
          <w:sz w:val="22"/>
          <w:szCs w:val="22"/>
        </w:rPr>
      </w:pPr>
      <w:bookmarkStart w:id="25" w:name="_ENREF_15"/>
      <w:bookmarkEnd w:id="24"/>
      <w:r w:rsidRPr="00286B6E">
        <w:rPr>
          <w:rFonts w:ascii="Arial" w:hAnsi="Arial" w:cs="Arial"/>
          <w:noProof/>
          <w:sz w:val="22"/>
          <w:szCs w:val="22"/>
        </w:rPr>
        <w:t xml:space="preserve">Bérubé, C. &amp; Mohnen, P. 2009. Are firms that received R&amp;D subsidies more innovative? </w:t>
      </w:r>
      <w:r w:rsidRPr="00286B6E">
        <w:rPr>
          <w:rFonts w:ascii="Arial" w:hAnsi="Arial" w:cs="Arial"/>
          <w:i/>
          <w:noProof/>
          <w:sz w:val="22"/>
          <w:szCs w:val="22"/>
        </w:rPr>
        <w:t>Canadian Journal of Economics</w:t>
      </w:r>
      <w:r w:rsidR="00C74300">
        <w:rPr>
          <w:rFonts w:ascii="Arial" w:hAnsi="Arial" w:cs="Arial"/>
          <w:i/>
          <w:noProof/>
          <w:sz w:val="22"/>
          <w:szCs w:val="22"/>
        </w:rPr>
        <w:t>.</w:t>
      </w:r>
      <w:r w:rsidRPr="00286B6E">
        <w:rPr>
          <w:rFonts w:ascii="Arial" w:hAnsi="Arial" w:cs="Arial"/>
          <w:noProof/>
          <w:sz w:val="22"/>
          <w:szCs w:val="22"/>
        </w:rPr>
        <w:t xml:space="preserve"> 42</w:t>
      </w:r>
      <w:r w:rsidRPr="00286B6E">
        <w:rPr>
          <w:rFonts w:ascii="Arial" w:hAnsi="Arial" w:cs="Arial"/>
          <w:b/>
          <w:noProof/>
          <w:sz w:val="22"/>
          <w:szCs w:val="22"/>
        </w:rPr>
        <w:t>,</w:t>
      </w:r>
      <w:r w:rsidRPr="00286B6E">
        <w:rPr>
          <w:rFonts w:ascii="Arial" w:hAnsi="Arial" w:cs="Arial"/>
          <w:noProof/>
          <w:sz w:val="22"/>
          <w:szCs w:val="22"/>
        </w:rPr>
        <w:t xml:space="preserve"> 206-225.</w:t>
      </w:r>
      <w:bookmarkEnd w:id="25"/>
    </w:p>
    <w:p w:rsidR="00286B6E" w:rsidRPr="00C74300" w:rsidRDefault="00286B6E" w:rsidP="00286B6E">
      <w:pPr>
        <w:spacing w:after="300" w:line="360" w:lineRule="auto"/>
        <w:jc w:val="both"/>
        <w:rPr>
          <w:rFonts w:ascii="Arial" w:hAnsi="Arial" w:cs="Arial"/>
          <w:noProof/>
          <w:sz w:val="22"/>
          <w:szCs w:val="22"/>
        </w:rPr>
      </w:pPr>
      <w:bookmarkStart w:id="26" w:name="_ENREF_16"/>
      <w:r w:rsidRPr="00C74300">
        <w:rPr>
          <w:rFonts w:ascii="Arial" w:hAnsi="Arial" w:cs="Arial"/>
          <w:noProof/>
          <w:sz w:val="22"/>
          <w:szCs w:val="22"/>
        </w:rPr>
        <w:t xml:space="preserve">Beugelsdijck, P. J. &amp; Cornet, M. 2001. How far do they reach? The localisation of industrial and academic spillovers in the Netherlands. </w:t>
      </w:r>
      <w:r w:rsidRPr="00C74300">
        <w:rPr>
          <w:rFonts w:ascii="Arial" w:hAnsi="Arial" w:cs="Arial"/>
          <w:i/>
          <w:noProof/>
          <w:sz w:val="22"/>
          <w:szCs w:val="22"/>
        </w:rPr>
        <w:t>Centre discussion paper</w:t>
      </w:r>
      <w:r w:rsidR="00C74300" w:rsidRPr="00C74300">
        <w:rPr>
          <w:rFonts w:ascii="Arial" w:hAnsi="Arial" w:cs="Arial"/>
          <w:noProof/>
          <w:sz w:val="22"/>
          <w:szCs w:val="22"/>
        </w:rPr>
        <w:t>.</w:t>
      </w:r>
      <w:r w:rsidRPr="00C74300">
        <w:rPr>
          <w:rFonts w:ascii="Arial" w:hAnsi="Arial" w:cs="Arial"/>
          <w:noProof/>
          <w:sz w:val="22"/>
          <w:szCs w:val="22"/>
        </w:rPr>
        <w:t xml:space="preserve"> 47.</w:t>
      </w:r>
      <w:bookmarkEnd w:id="26"/>
    </w:p>
    <w:p w:rsidR="00286B6E" w:rsidRPr="00286B6E" w:rsidRDefault="00286B6E" w:rsidP="00286B6E">
      <w:pPr>
        <w:spacing w:after="300" w:line="360" w:lineRule="auto"/>
        <w:jc w:val="both"/>
        <w:rPr>
          <w:rFonts w:ascii="Arial" w:hAnsi="Arial" w:cs="Arial"/>
          <w:noProof/>
          <w:sz w:val="22"/>
          <w:szCs w:val="22"/>
        </w:rPr>
      </w:pPr>
      <w:bookmarkStart w:id="27" w:name="_ENREF_17"/>
      <w:r w:rsidRPr="00286B6E">
        <w:rPr>
          <w:rFonts w:ascii="Arial" w:hAnsi="Arial" w:cs="Arial"/>
          <w:noProof/>
          <w:sz w:val="22"/>
          <w:szCs w:val="22"/>
        </w:rPr>
        <w:t xml:space="preserve">BIS 2009. RDA Evaluation: Pratical Guidance on implementing the Impact Evaluation Framework. </w:t>
      </w:r>
      <w:r w:rsidRPr="00C74300">
        <w:rPr>
          <w:rFonts w:ascii="Arial" w:hAnsi="Arial" w:cs="Arial"/>
          <w:noProof/>
          <w:sz w:val="22"/>
          <w:szCs w:val="22"/>
        </w:rPr>
        <w:t>In:</w:t>
      </w:r>
      <w:r w:rsidRPr="00286B6E">
        <w:rPr>
          <w:rFonts w:ascii="Arial" w:hAnsi="Arial" w:cs="Arial"/>
          <w:noProof/>
          <w:sz w:val="22"/>
          <w:szCs w:val="22"/>
        </w:rPr>
        <w:t xml:space="preserve"> </w:t>
      </w:r>
      <w:r w:rsidR="00C74300" w:rsidRPr="00286B6E">
        <w:rPr>
          <w:rFonts w:ascii="Arial" w:hAnsi="Arial" w:cs="Arial"/>
          <w:noProof/>
          <w:sz w:val="22"/>
          <w:szCs w:val="22"/>
        </w:rPr>
        <w:t xml:space="preserve">Department </w:t>
      </w:r>
      <w:r w:rsidR="00C74300">
        <w:rPr>
          <w:rFonts w:ascii="Arial" w:hAnsi="Arial" w:cs="Arial"/>
          <w:noProof/>
          <w:sz w:val="22"/>
          <w:szCs w:val="22"/>
        </w:rPr>
        <w:t>f</w:t>
      </w:r>
      <w:r w:rsidR="00C74300" w:rsidRPr="00286B6E">
        <w:rPr>
          <w:rFonts w:ascii="Arial" w:hAnsi="Arial" w:cs="Arial"/>
          <w:noProof/>
          <w:sz w:val="22"/>
          <w:szCs w:val="22"/>
        </w:rPr>
        <w:t>or Business</w:t>
      </w:r>
      <w:r w:rsidR="003648C4">
        <w:rPr>
          <w:rFonts w:ascii="Arial" w:hAnsi="Arial" w:cs="Arial"/>
          <w:noProof/>
          <w:sz w:val="22"/>
          <w:szCs w:val="22"/>
        </w:rPr>
        <w:t>, I. A. S., ed</w:t>
      </w:r>
      <w:r w:rsidRPr="00286B6E">
        <w:rPr>
          <w:rFonts w:ascii="Arial" w:hAnsi="Arial" w:cs="Arial"/>
          <w:noProof/>
          <w:sz w:val="22"/>
          <w:szCs w:val="22"/>
        </w:rPr>
        <w:t xml:space="preserve">. London </w:t>
      </w:r>
      <w:bookmarkEnd w:id="27"/>
    </w:p>
    <w:p w:rsidR="00286B6E" w:rsidRPr="00286B6E" w:rsidRDefault="00286B6E" w:rsidP="00286B6E">
      <w:pPr>
        <w:spacing w:after="300" w:line="360" w:lineRule="auto"/>
        <w:jc w:val="both"/>
        <w:rPr>
          <w:rFonts w:ascii="Arial" w:hAnsi="Arial" w:cs="Arial"/>
          <w:sz w:val="22"/>
          <w:szCs w:val="22"/>
        </w:rPr>
      </w:pPr>
      <w:bookmarkStart w:id="28" w:name="_ENREF_18"/>
      <w:r w:rsidRPr="00286B6E">
        <w:rPr>
          <w:rFonts w:ascii="Arial" w:hAnsi="Arial" w:cs="Arial"/>
          <w:sz w:val="22"/>
          <w:szCs w:val="22"/>
        </w:rPr>
        <w:t xml:space="preserve">Bontis, N.  1998. Intellectual capital: an exploratory study that develops measures and models. </w:t>
      </w:r>
      <w:r w:rsidRPr="00212BE7">
        <w:rPr>
          <w:rFonts w:ascii="Arial" w:hAnsi="Arial" w:cs="Arial"/>
          <w:i/>
          <w:sz w:val="22"/>
          <w:szCs w:val="22"/>
        </w:rPr>
        <w:t>Management Decision</w:t>
      </w:r>
      <w:r w:rsidR="00C74300">
        <w:rPr>
          <w:rFonts w:ascii="Arial" w:hAnsi="Arial" w:cs="Arial"/>
          <w:sz w:val="22"/>
          <w:szCs w:val="22"/>
        </w:rPr>
        <w:t>.</w:t>
      </w:r>
      <w:r w:rsidR="00212BE7">
        <w:rPr>
          <w:rFonts w:ascii="Arial" w:hAnsi="Arial" w:cs="Arial"/>
          <w:sz w:val="22"/>
          <w:szCs w:val="22"/>
        </w:rPr>
        <w:t xml:space="preserve"> 36(2),</w:t>
      </w:r>
      <w:r w:rsidRPr="00286B6E">
        <w:rPr>
          <w:rFonts w:ascii="Arial" w:hAnsi="Arial" w:cs="Arial"/>
          <w:sz w:val="22"/>
          <w:szCs w:val="22"/>
        </w:rPr>
        <w:t xml:space="preserve"> 63-76.</w:t>
      </w:r>
    </w:p>
    <w:p w:rsidR="00286B6E" w:rsidRPr="00286B6E" w:rsidRDefault="00286B6E" w:rsidP="00742703">
      <w:pPr>
        <w:spacing w:after="240" w:line="360" w:lineRule="auto"/>
        <w:jc w:val="both"/>
        <w:rPr>
          <w:rFonts w:ascii="Arial" w:hAnsi="Arial" w:cs="Arial"/>
          <w:noProof/>
          <w:sz w:val="22"/>
          <w:szCs w:val="22"/>
        </w:rPr>
      </w:pPr>
      <w:r w:rsidRPr="00286B6E">
        <w:rPr>
          <w:rFonts w:ascii="Arial" w:hAnsi="Arial" w:cs="Arial"/>
          <w:noProof/>
          <w:sz w:val="22"/>
          <w:szCs w:val="22"/>
        </w:rPr>
        <w:t xml:space="preserve">Buiseret, T., Cameron, H. M. &amp; Georgiou, L. 1995. What differences does it make? Additionality in the public support of R&amp;D in large firms. </w:t>
      </w:r>
      <w:r w:rsidRPr="00286B6E">
        <w:rPr>
          <w:rFonts w:ascii="Arial" w:hAnsi="Arial" w:cs="Arial"/>
          <w:i/>
          <w:noProof/>
          <w:sz w:val="22"/>
          <w:szCs w:val="22"/>
        </w:rPr>
        <w:t>International Journal of Technology Management</w:t>
      </w:r>
      <w:r w:rsidR="00C74300">
        <w:rPr>
          <w:rFonts w:ascii="Arial" w:hAnsi="Arial" w:cs="Arial"/>
          <w:i/>
          <w:noProof/>
          <w:sz w:val="22"/>
          <w:szCs w:val="22"/>
        </w:rPr>
        <w:t xml:space="preserve">. </w:t>
      </w:r>
      <w:r w:rsidRPr="00286B6E">
        <w:rPr>
          <w:rFonts w:ascii="Arial" w:hAnsi="Arial" w:cs="Arial"/>
          <w:noProof/>
          <w:sz w:val="22"/>
          <w:szCs w:val="22"/>
        </w:rPr>
        <w:t>10</w:t>
      </w:r>
      <w:r w:rsidRPr="00286B6E">
        <w:rPr>
          <w:rFonts w:ascii="Arial" w:hAnsi="Arial" w:cs="Arial"/>
          <w:b/>
          <w:noProof/>
          <w:sz w:val="22"/>
          <w:szCs w:val="22"/>
        </w:rPr>
        <w:t>,</w:t>
      </w:r>
      <w:r w:rsidRPr="00286B6E">
        <w:rPr>
          <w:rFonts w:ascii="Arial" w:hAnsi="Arial" w:cs="Arial"/>
          <w:noProof/>
          <w:sz w:val="22"/>
          <w:szCs w:val="22"/>
        </w:rPr>
        <w:t xml:space="preserve"> 587-600.</w:t>
      </w:r>
      <w:bookmarkEnd w:id="28"/>
    </w:p>
    <w:p w:rsidR="00286B6E" w:rsidRPr="00286B6E" w:rsidRDefault="00286B6E" w:rsidP="00286B6E">
      <w:pPr>
        <w:spacing w:after="300" w:line="360" w:lineRule="auto"/>
        <w:jc w:val="both"/>
        <w:rPr>
          <w:rFonts w:ascii="Arial" w:hAnsi="Arial" w:cs="Arial"/>
          <w:noProof/>
          <w:sz w:val="22"/>
          <w:szCs w:val="22"/>
        </w:rPr>
      </w:pPr>
      <w:bookmarkStart w:id="29" w:name="_ENREF_19"/>
      <w:r w:rsidRPr="00286B6E">
        <w:rPr>
          <w:rFonts w:ascii="Arial" w:hAnsi="Arial" w:cs="Arial"/>
          <w:noProof/>
          <w:sz w:val="22"/>
          <w:szCs w:val="22"/>
        </w:rPr>
        <w:t xml:space="preserve">Caballero, R. J. &amp; Hammour, M. L. 1994. </w:t>
      </w:r>
      <w:r w:rsidR="00212BE7">
        <w:rPr>
          <w:rFonts w:ascii="Arial" w:hAnsi="Arial" w:cs="Arial"/>
          <w:noProof/>
          <w:sz w:val="22"/>
          <w:szCs w:val="22"/>
        </w:rPr>
        <w:t>T</w:t>
      </w:r>
      <w:r w:rsidR="00212BE7" w:rsidRPr="00286B6E">
        <w:rPr>
          <w:rFonts w:ascii="Arial" w:hAnsi="Arial" w:cs="Arial"/>
          <w:noProof/>
          <w:sz w:val="22"/>
          <w:szCs w:val="22"/>
        </w:rPr>
        <w:t>he cleansing effect of recessions</w:t>
      </w:r>
      <w:r w:rsidRPr="00286B6E">
        <w:rPr>
          <w:rFonts w:ascii="Arial" w:hAnsi="Arial" w:cs="Arial"/>
          <w:noProof/>
          <w:sz w:val="22"/>
          <w:szCs w:val="22"/>
        </w:rPr>
        <w:t xml:space="preserve">. </w:t>
      </w:r>
      <w:r w:rsidRPr="00286B6E">
        <w:rPr>
          <w:rFonts w:ascii="Arial" w:hAnsi="Arial" w:cs="Arial"/>
          <w:i/>
          <w:noProof/>
          <w:sz w:val="22"/>
          <w:szCs w:val="22"/>
        </w:rPr>
        <w:t>American Economic Review</w:t>
      </w:r>
      <w:r w:rsidR="00C74300">
        <w:rPr>
          <w:rFonts w:ascii="Arial" w:hAnsi="Arial" w:cs="Arial"/>
          <w:i/>
          <w:noProof/>
          <w:sz w:val="22"/>
          <w:szCs w:val="22"/>
        </w:rPr>
        <w:t>.</w:t>
      </w:r>
      <w:r w:rsidRPr="00286B6E">
        <w:rPr>
          <w:rFonts w:ascii="Arial" w:hAnsi="Arial" w:cs="Arial"/>
          <w:noProof/>
          <w:sz w:val="22"/>
          <w:szCs w:val="22"/>
        </w:rPr>
        <w:t xml:space="preserve"> 84</w:t>
      </w:r>
      <w:r w:rsidRPr="00286B6E">
        <w:rPr>
          <w:rFonts w:ascii="Arial" w:hAnsi="Arial" w:cs="Arial"/>
          <w:b/>
          <w:noProof/>
          <w:sz w:val="22"/>
          <w:szCs w:val="22"/>
        </w:rPr>
        <w:t>,</w:t>
      </w:r>
      <w:r w:rsidRPr="00286B6E">
        <w:rPr>
          <w:rFonts w:ascii="Arial" w:hAnsi="Arial" w:cs="Arial"/>
          <w:noProof/>
          <w:sz w:val="22"/>
          <w:szCs w:val="22"/>
        </w:rPr>
        <w:t xml:space="preserve"> 1350-1368.</w:t>
      </w:r>
      <w:bookmarkEnd w:id="29"/>
    </w:p>
    <w:p w:rsidR="00286B6E" w:rsidRPr="00286B6E" w:rsidRDefault="00286B6E" w:rsidP="00286B6E">
      <w:pPr>
        <w:autoSpaceDE w:val="0"/>
        <w:autoSpaceDN w:val="0"/>
        <w:adjustRightInd w:val="0"/>
        <w:spacing w:after="300" w:line="360" w:lineRule="auto"/>
        <w:jc w:val="both"/>
        <w:rPr>
          <w:rFonts w:ascii="Arial" w:hAnsi="Arial" w:cs="Arial"/>
          <w:sz w:val="22"/>
          <w:szCs w:val="22"/>
        </w:rPr>
      </w:pPr>
      <w:bookmarkStart w:id="30" w:name="_ENREF_20"/>
      <w:r w:rsidRPr="00286B6E">
        <w:rPr>
          <w:rFonts w:ascii="Arial" w:hAnsi="Arial" w:cs="Arial"/>
          <w:sz w:val="22"/>
          <w:szCs w:val="22"/>
        </w:rPr>
        <w:lastRenderedPageBreak/>
        <w:t>Cegarra-Navarro, J</w:t>
      </w:r>
      <w:r w:rsidR="00212BE7">
        <w:rPr>
          <w:rFonts w:ascii="Arial" w:hAnsi="Arial" w:cs="Arial"/>
          <w:sz w:val="22"/>
          <w:szCs w:val="22"/>
        </w:rPr>
        <w:t>. G.</w:t>
      </w:r>
      <w:r w:rsidRPr="00286B6E">
        <w:rPr>
          <w:rFonts w:ascii="Arial" w:hAnsi="Arial" w:cs="Arial"/>
          <w:sz w:val="22"/>
          <w:szCs w:val="22"/>
        </w:rPr>
        <w:t xml:space="preserve"> &amp; Wensley, A. K. P. 2009. Congenital learning in the Spanish telecommunication industry. </w:t>
      </w:r>
      <w:r w:rsidRPr="00212BE7">
        <w:rPr>
          <w:rFonts w:ascii="Arial" w:hAnsi="Arial" w:cs="Arial"/>
          <w:i/>
          <w:sz w:val="22"/>
          <w:szCs w:val="22"/>
        </w:rPr>
        <w:t>Journal of Business Venturing</w:t>
      </w:r>
      <w:r w:rsidR="00C74300" w:rsidRPr="00212BE7">
        <w:rPr>
          <w:rFonts w:ascii="Arial" w:hAnsi="Arial" w:cs="Arial"/>
          <w:i/>
          <w:sz w:val="22"/>
          <w:szCs w:val="22"/>
        </w:rPr>
        <w:t>.</w:t>
      </w:r>
      <w:r w:rsidR="00C74300">
        <w:rPr>
          <w:rFonts w:ascii="Arial" w:hAnsi="Arial" w:cs="Arial"/>
          <w:sz w:val="22"/>
          <w:szCs w:val="22"/>
        </w:rPr>
        <w:t xml:space="preserve"> 24(6),</w:t>
      </w:r>
      <w:r w:rsidRPr="00286B6E">
        <w:rPr>
          <w:rFonts w:ascii="Arial" w:hAnsi="Arial" w:cs="Arial"/>
          <w:sz w:val="22"/>
          <w:szCs w:val="22"/>
        </w:rPr>
        <w:t xml:space="preserve"> 533-543.</w:t>
      </w:r>
    </w:p>
    <w:p w:rsidR="00286B6E" w:rsidRPr="00286B6E" w:rsidRDefault="00286B6E" w:rsidP="00286B6E">
      <w:pPr>
        <w:spacing w:after="300" w:line="360" w:lineRule="auto"/>
        <w:jc w:val="both"/>
        <w:rPr>
          <w:rFonts w:ascii="Arial" w:hAnsi="Arial" w:cs="Arial"/>
          <w:noProof/>
          <w:sz w:val="22"/>
          <w:szCs w:val="22"/>
        </w:rPr>
      </w:pPr>
      <w:bookmarkStart w:id="31" w:name="_ENREF_21"/>
      <w:bookmarkEnd w:id="30"/>
      <w:r w:rsidRPr="00286B6E">
        <w:rPr>
          <w:rFonts w:ascii="Arial" w:hAnsi="Arial" w:cs="Arial"/>
          <w:noProof/>
          <w:sz w:val="22"/>
          <w:szCs w:val="22"/>
        </w:rPr>
        <w:t xml:space="preserve">Chen, W. C. 2012. Innovation and duration of exports. </w:t>
      </w:r>
      <w:r w:rsidRPr="00286B6E">
        <w:rPr>
          <w:rFonts w:ascii="Arial" w:hAnsi="Arial" w:cs="Arial"/>
          <w:i/>
          <w:noProof/>
          <w:sz w:val="22"/>
          <w:szCs w:val="22"/>
        </w:rPr>
        <w:t>Economics Letters</w:t>
      </w:r>
      <w:r w:rsidR="00C74300">
        <w:rPr>
          <w:rFonts w:ascii="Arial" w:hAnsi="Arial" w:cs="Arial"/>
          <w:i/>
          <w:noProof/>
          <w:sz w:val="22"/>
          <w:szCs w:val="22"/>
        </w:rPr>
        <w:t>.</w:t>
      </w:r>
      <w:r w:rsidRPr="00286B6E">
        <w:rPr>
          <w:rFonts w:ascii="Arial" w:hAnsi="Arial" w:cs="Arial"/>
          <w:noProof/>
          <w:sz w:val="22"/>
          <w:szCs w:val="22"/>
        </w:rPr>
        <w:t xml:space="preserve"> 115</w:t>
      </w:r>
      <w:r w:rsidRPr="00286B6E">
        <w:rPr>
          <w:rFonts w:ascii="Arial" w:hAnsi="Arial" w:cs="Arial"/>
          <w:b/>
          <w:noProof/>
          <w:sz w:val="22"/>
          <w:szCs w:val="22"/>
        </w:rPr>
        <w:t>,</w:t>
      </w:r>
      <w:r w:rsidRPr="00286B6E">
        <w:rPr>
          <w:rFonts w:ascii="Arial" w:hAnsi="Arial" w:cs="Arial"/>
          <w:noProof/>
          <w:sz w:val="22"/>
          <w:szCs w:val="22"/>
        </w:rPr>
        <w:t xml:space="preserve"> 305-308.</w:t>
      </w:r>
      <w:bookmarkEnd w:id="31"/>
    </w:p>
    <w:p w:rsidR="00286B6E" w:rsidRPr="00286B6E" w:rsidRDefault="00286B6E" w:rsidP="00286B6E">
      <w:pPr>
        <w:spacing w:after="300" w:line="360" w:lineRule="auto"/>
        <w:jc w:val="both"/>
        <w:rPr>
          <w:rFonts w:ascii="Arial" w:hAnsi="Arial" w:cs="Arial"/>
          <w:noProof/>
          <w:sz w:val="22"/>
          <w:szCs w:val="22"/>
        </w:rPr>
      </w:pPr>
      <w:bookmarkStart w:id="32" w:name="_ENREF_22"/>
      <w:r w:rsidRPr="00212BE7">
        <w:rPr>
          <w:rFonts w:ascii="Arial" w:hAnsi="Arial" w:cs="Arial"/>
          <w:noProof/>
          <w:sz w:val="22"/>
          <w:szCs w:val="22"/>
        </w:rPr>
        <w:t>Chesborough, H. W. 2003.</w:t>
      </w:r>
      <w:r w:rsidRPr="00286B6E">
        <w:rPr>
          <w:rFonts w:ascii="Arial" w:hAnsi="Arial" w:cs="Arial"/>
          <w:noProof/>
          <w:sz w:val="22"/>
          <w:szCs w:val="22"/>
        </w:rPr>
        <w:t xml:space="preserve"> </w:t>
      </w:r>
      <w:r w:rsidRPr="00286B6E">
        <w:rPr>
          <w:rFonts w:ascii="Arial" w:hAnsi="Arial" w:cs="Arial"/>
          <w:i/>
          <w:noProof/>
          <w:sz w:val="22"/>
          <w:szCs w:val="22"/>
        </w:rPr>
        <w:t>Open Innovation</w:t>
      </w:r>
      <w:r w:rsidR="00212BE7">
        <w:rPr>
          <w:rFonts w:ascii="Arial" w:hAnsi="Arial" w:cs="Arial"/>
          <w:i/>
          <w:noProof/>
          <w:sz w:val="22"/>
          <w:szCs w:val="22"/>
        </w:rPr>
        <w:t>: the new imperative for creating and profiting from technology</w:t>
      </w:r>
      <w:r w:rsidR="00212BE7">
        <w:rPr>
          <w:rFonts w:ascii="Arial" w:hAnsi="Arial" w:cs="Arial"/>
          <w:noProof/>
          <w:sz w:val="22"/>
          <w:szCs w:val="22"/>
        </w:rPr>
        <w:t xml:space="preserve">. </w:t>
      </w:r>
      <w:r w:rsidRPr="00286B6E">
        <w:rPr>
          <w:rFonts w:ascii="Arial" w:hAnsi="Arial" w:cs="Arial"/>
          <w:noProof/>
          <w:sz w:val="22"/>
          <w:szCs w:val="22"/>
        </w:rPr>
        <w:t xml:space="preserve"> </w:t>
      </w:r>
      <w:r w:rsidR="00212BE7">
        <w:rPr>
          <w:rFonts w:ascii="Arial" w:hAnsi="Arial" w:cs="Arial"/>
          <w:noProof/>
          <w:sz w:val="22"/>
          <w:szCs w:val="22"/>
        </w:rPr>
        <w:t xml:space="preserve">Boston: </w:t>
      </w:r>
      <w:r w:rsidRPr="00286B6E">
        <w:rPr>
          <w:rFonts w:ascii="Arial" w:hAnsi="Arial" w:cs="Arial"/>
          <w:noProof/>
          <w:sz w:val="22"/>
          <w:szCs w:val="22"/>
        </w:rPr>
        <w:t>Harvard University Press.</w:t>
      </w:r>
      <w:bookmarkEnd w:id="32"/>
    </w:p>
    <w:p w:rsidR="00286B6E" w:rsidRPr="00286B6E" w:rsidRDefault="00286B6E" w:rsidP="00286B6E">
      <w:pPr>
        <w:spacing w:after="300" w:line="360" w:lineRule="auto"/>
        <w:jc w:val="both"/>
        <w:rPr>
          <w:rFonts w:ascii="Arial" w:hAnsi="Arial" w:cs="Arial"/>
          <w:noProof/>
          <w:sz w:val="22"/>
          <w:szCs w:val="22"/>
        </w:rPr>
      </w:pPr>
      <w:bookmarkStart w:id="33" w:name="_ENREF_23"/>
      <w:r w:rsidRPr="00286B6E">
        <w:rPr>
          <w:rFonts w:ascii="Arial" w:hAnsi="Arial" w:cs="Arial"/>
          <w:noProof/>
          <w:sz w:val="22"/>
          <w:szCs w:val="22"/>
        </w:rPr>
        <w:t xml:space="preserve">Chesborough, H. W. 2006. </w:t>
      </w:r>
      <w:r w:rsidRPr="00286B6E">
        <w:rPr>
          <w:rFonts w:ascii="Arial" w:hAnsi="Arial" w:cs="Arial"/>
          <w:i/>
          <w:noProof/>
          <w:sz w:val="22"/>
          <w:szCs w:val="22"/>
        </w:rPr>
        <w:t>Open Innovation: a new paradig</w:t>
      </w:r>
      <w:r w:rsidR="00212BE7">
        <w:rPr>
          <w:rFonts w:ascii="Arial" w:hAnsi="Arial" w:cs="Arial"/>
          <w:i/>
          <w:noProof/>
          <w:sz w:val="22"/>
          <w:szCs w:val="22"/>
        </w:rPr>
        <w:t>m</w:t>
      </w:r>
      <w:r w:rsidRPr="00286B6E">
        <w:rPr>
          <w:rFonts w:ascii="Arial" w:hAnsi="Arial" w:cs="Arial"/>
          <w:i/>
          <w:noProof/>
          <w:sz w:val="22"/>
          <w:szCs w:val="22"/>
        </w:rPr>
        <w:t xml:space="preserve"> for understanding industrial innovation</w:t>
      </w:r>
      <w:r w:rsidR="00C74300">
        <w:rPr>
          <w:rFonts w:ascii="Arial" w:hAnsi="Arial" w:cs="Arial"/>
          <w:i/>
          <w:noProof/>
          <w:sz w:val="22"/>
          <w:szCs w:val="22"/>
        </w:rPr>
        <w:t xml:space="preserve">. </w:t>
      </w:r>
      <w:r w:rsidRPr="00286B6E">
        <w:rPr>
          <w:rFonts w:ascii="Arial" w:hAnsi="Arial" w:cs="Arial"/>
          <w:noProof/>
          <w:sz w:val="22"/>
          <w:szCs w:val="22"/>
        </w:rPr>
        <w:t>Oxford</w:t>
      </w:r>
      <w:r w:rsidR="00C74300">
        <w:rPr>
          <w:rFonts w:ascii="Arial" w:hAnsi="Arial" w:cs="Arial"/>
          <w:noProof/>
          <w:sz w:val="22"/>
          <w:szCs w:val="22"/>
        </w:rPr>
        <w:t>:</w:t>
      </w:r>
      <w:r w:rsidRPr="00286B6E">
        <w:rPr>
          <w:rFonts w:ascii="Arial" w:hAnsi="Arial" w:cs="Arial"/>
          <w:noProof/>
          <w:sz w:val="22"/>
          <w:szCs w:val="22"/>
        </w:rPr>
        <w:t xml:space="preserve"> Oxford University Press.</w:t>
      </w:r>
      <w:bookmarkEnd w:id="33"/>
    </w:p>
    <w:p w:rsidR="00286B6E" w:rsidRPr="00286B6E" w:rsidRDefault="00286B6E" w:rsidP="00286B6E">
      <w:pPr>
        <w:spacing w:after="300" w:line="360" w:lineRule="auto"/>
        <w:jc w:val="both"/>
        <w:rPr>
          <w:rFonts w:ascii="Arial" w:hAnsi="Arial" w:cs="Arial"/>
          <w:noProof/>
          <w:sz w:val="22"/>
          <w:szCs w:val="22"/>
        </w:rPr>
      </w:pPr>
      <w:bookmarkStart w:id="34" w:name="_ENREF_24"/>
      <w:r w:rsidRPr="00286B6E">
        <w:rPr>
          <w:rFonts w:ascii="Arial" w:hAnsi="Arial" w:cs="Arial"/>
          <w:noProof/>
          <w:sz w:val="22"/>
          <w:szCs w:val="22"/>
        </w:rPr>
        <w:t xml:space="preserve">Clarysse, B., Wright, M. &amp; Mustar, P. 2009. Behavioural additionality of R&amp;D subsidies: </w:t>
      </w:r>
      <w:r w:rsidR="00C90994">
        <w:rPr>
          <w:rFonts w:ascii="Arial" w:hAnsi="Arial" w:cs="Arial"/>
          <w:noProof/>
          <w:sz w:val="22"/>
          <w:szCs w:val="22"/>
        </w:rPr>
        <w:t>a</w:t>
      </w:r>
      <w:r w:rsidRPr="00286B6E">
        <w:rPr>
          <w:rFonts w:ascii="Arial" w:hAnsi="Arial" w:cs="Arial"/>
          <w:noProof/>
          <w:sz w:val="22"/>
          <w:szCs w:val="22"/>
        </w:rPr>
        <w:t xml:space="preserve"> learning perspective. </w:t>
      </w:r>
      <w:r w:rsidRPr="00286B6E">
        <w:rPr>
          <w:rFonts w:ascii="Arial" w:hAnsi="Arial" w:cs="Arial"/>
          <w:i/>
          <w:noProof/>
          <w:sz w:val="22"/>
          <w:szCs w:val="22"/>
        </w:rPr>
        <w:t>Research Policy</w:t>
      </w:r>
      <w:r w:rsidR="00C74300">
        <w:rPr>
          <w:rFonts w:ascii="Arial" w:hAnsi="Arial" w:cs="Arial"/>
          <w:i/>
          <w:noProof/>
          <w:sz w:val="22"/>
          <w:szCs w:val="22"/>
        </w:rPr>
        <w:t xml:space="preserve">. </w:t>
      </w:r>
      <w:r w:rsidRPr="00286B6E">
        <w:rPr>
          <w:rFonts w:ascii="Arial" w:hAnsi="Arial" w:cs="Arial"/>
          <w:noProof/>
          <w:sz w:val="22"/>
          <w:szCs w:val="22"/>
        </w:rPr>
        <w:t>38</w:t>
      </w:r>
      <w:r w:rsidRPr="00286B6E">
        <w:rPr>
          <w:rFonts w:ascii="Arial" w:hAnsi="Arial" w:cs="Arial"/>
          <w:b/>
          <w:noProof/>
          <w:sz w:val="22"/>
          <w:szCs w:val="22"/>
        </w:rPr>
        <w:t>,</w:t>
      </w:r>
      <w:r w:rsidRPr="00286B6E">
        <w:rPr>
          <w:rFonts w:ascii="Arial" w:hAnsi="Arial" w:cs="Arial"/>
          <w:noProof/>
          <w:sz w:val="22"/>
          <w:szCs w:val="22"/>
        </w:rPr>
        <w:t xml:space="preserve"> 1517-1533.</w:t>
      </w:r>
      <w:bookmarkEnd w:id="34"/>
    </w:p>
    <w:p w:rsidR="00286B6E" w:rsidRPr="00286B6E" w:rsidRDefault="00286B6E" w:rsidP="00286B6E">
      <w:pPr>
        <w:spacing w:after="300" w:line="360" w:lineRule="auto"/>
        <w:jc w:val="both"/>
        <w:rPr>
          <w:rFonts w:ascii="Arial" w:hAnsi="Arial" w:cs="Arial"/>
          <w:noProof/>
          <w:sz w:val="22"/>
          <w:szCs w:val="22"/>
        </w:rPr>
      </w:pPr>
      <w:bookmarkStart w:id="35" w:name="_ENREF_25"/>
      <w:r w:rsidRPr="00286B6E">
        <w:rPr>
          <w:rFonts w:ascii="Arial" w:hAnsi="Arial" w:cs="Arial"/>
          <w:noProof/>
          <w:sz w:val="22"/>
          <w:szCs w:val="22"/>
        </w:rPr>
        <w:t xml:space="preserve">Cohen, W. M. &amp; Levinthal, D. A. 1989. Innovation and Learning: the two faces of R&amp;D. </w:t>
      </w:r>
      <w:r w:rsidRPr="00286B6E">
        <w:rPr>
          <w:rFonts w:ascii="Arial" w:hAnsi="Arial" w:cs="Arial"/>
          <w:i/>
          <w:noProof/>
          <w:sz w:val="22"/>
          <w:szCs w:val="22"/>
        </w:rPr>
        <w:t>The Economic Journal</w:t>
      </w:r>
      <w:r w:rsidR="00C74300">
        <w:rPr>
          <w:rFonts w:ascii="Arial" w:hAnsi="Arial" w:cs="Arial"/>
          <w:i/>
          <w:noProof/>
          <w:sz w:val="22"/>
          <w:szCs w:val="22"/>
        </w:rPr>
        <w:t>.</w:t>
      </w:r>
      <w:r w:rsidRPr="00286B6E">
        <w:rPr>
          <w:rFonts w:ascii="Arial" w:hAnsi="Arial" w:cs="Arial"/>
          <w:noProof/>
          <w:sz w:val="22"/>
          <w:szCs w:val="22"/>
        </w:rPr>
        <w:t xml:space="preserve"> 99</w:t>
      </w:r>
      <w:r w:rsidRPr="00286B6E">
        <w:rPr>
          <w:rFonts w:ascii="Arial" w:hAnsi="Arial" w:cs="Arial"/>
          <w:b/>
          <w:noProof/>
          <w:sz w:val="22"/>
          <w:szCs w:val="22"/>
        </w:rPr>
        <w:t>,</w:t>
      </w:r>
      <w:r w:rsidRPr="00286B6E">
        <w:rPr>
          <w:rFonts w:ascii="Arial" w:hAnsi="Arial" w:cs="Arial"/>
          <w:noProof/>
          <w:sz w:val="22"/>
          <w:szCs w:val="22"/>
        </w:rPr>
        <w:t xml:space="preserve"> 569-596.</w:t>
      </w:r>
      <w:bookmarkEnd w:id="35"/>
    </w:p>
    <w:p w:rsidR="00286B6E" w:rsidRPr="00286B6E" w:rsidRDefault="00286B6E" w:rsidP="00286B6E">
      <w:pPr>
        <w:spacing w:after="300" w:line="360" w:lineRule="auto"/>
        <w:jc w:val="both"/>
        <w:rPr>
          <w:rFonts w:ascii="Arial" w:hAnsi="Arial" w:cs="Arial"/>
          <w:noProof/>
          <w:sz w:val="22"/>
          <w:szCs w:val="22"/>
        </w:rPr>
      </w:pPr>
      <w:bookmarkStart w:id="36" w:name="_ENREF_26"/>
      <w:r w:rsidRPr="00286B6E">
        <w:rPr>
          <w:rFonts w:ascii="Arial" w:hAnsi="Arial" w:cs="Arial"/>
          <w:noProof/>
          <w:sz w:val="22"/>
          <w:szCs w:val="22"/>
        </w:rPr>
        <w:t xml:space="preserve">Cooke, P., Roper, S. &amp; Wylie, P. 2003. </w:t>
      </w:r>
      <w:r w:rsidR="00D86945">
        <w:rPr>
          <w:rFonts w:ascii="Arial" w:hAnsi="Arial" w:cs="Arial"/>
          <w:noProof/>
          <w:sz w:val="22"/>
          <w:szCs w:val="22"/>
        </w:rPr>
        <w:t>T</w:t>
      </w:r>
      <w:r w:rsidR="00D86945" w:rsidRPr="00286B6E">
        <w:rPr>
          <w:rFonts w:ascii="Arial" w:hAnsi="Arial" w:cs="Arial"/>
          <w:noProof/>
          <w:sz w:val="22"/>
          <w:szCs w:val="22"/>
        </w:rPr>
        <w:t>he golden thread of innovation and Northern Ireland's evolving regional innovation system</w:t>
      </w:r>
      <w:r w:rsidRPr="00286B6E">
        <w:rPr>
          <w:rFonts w:ascii="Arial" w:hAnsi="Arial" w:cs="Arial"/>
          <w:noProof/>
          <w:sz w:val="22"/>
          <w:szCs w:val="22"/>
        </w:rPr>
        <w:t xml:space="preserve">. </w:t>
      </w:r>
      <w:r w:rsidRPr="00286B6E">
        <w:rPr>
          <w:rFonts w:ascii="Arial" w:hAnsi="Arial" w:cs="Arial"/>
          <w:i/>
          <w:noProof/>
          <w:sz w:val="22"/>
          <w:szCs w:val="22"/>
        </w:rPr>
        <w:t>Regional Studies</w:t>
      </w:r>
      <w:r w:rsidR="00C74300">
        <w:rPr>
          <w:rFonts w:ascii="Arial" w:hAnsi="Arial" w:cs="Arial"/>
          <w:i/>
          <w:noProof/>
          <w:sz w:val="22"/>
          <w:szCs w:val="22"/>
        </w:rPr>
        <w:t>.</w:t>
      </w:r>
      <w:r w:rsidRPr="00286B6E">
        <w:rPr>
          <w:rFonts w:ascii="Arial" w:hAnsi="Arial" w:cs="Arial"/>
          <w:noProof/>
          <w:sz w:val="22"/>
          <w:szCs w:val="22"/>
        </w:rPr>
        <w:t xml:space="preserve"> 37</w:t>
      </w:r>
      <w:r w:rsidRPr="00286B6E">
        <w:rPr>
          <w:rFonts w:ascii="Arial" w:hAnsi="Arial" w:cs="Arial"/>
          <w:b/>
          <w:noProof/>
          <w:sz w:val="22"/>
          <w:szCs w:val="22"/>
        </w:rPr>
        <w:t>,</w:t>
      </w:r>
      <w:r w:rsidRPr="00286B6E">
        <w:rPr>
          <w:rFonts w:ascii="Arial" w:hAnsi="Arial" w:cs="Arial"/>
          <w:noProof/>
          <w:sz w:val="22"/>
          <w:szCs w:val="22"/>
        </w:rPr>
        <w:t xml:space="preserve"> 365-380.</w:t>
      </w:r>
      <w:bookmarkEnd w:id="36"/>
    </w:p>
    <w:p w:rsidR="00286B6E" w:rsidRPr="00286B6E" w:rsidRDefault="00286B6E" w:rsidP="00286B6E">
      <w:pPr>
        <w:spacing w:after="300" w:line="360" w:lineRule="auto"/>
        <w:jc w:val="both"/>
        <w:rPr>
          <w:rFonts w:ascii="Arial" w:hAnsi="Arial" w:cs="Arial"/>
          <w:color w:val="7030A0"/>
          <w:sz w:val="22"/>
          <w:szCs w:val="22"/>
        </w:rPr>
      </w:pPr>
      <w:bookmarkStart w:id="37" w:name="_ENREF_28"/>
      <w:r w:rsidRPr="00286B6E">
        <w:rPr>
          <w:rFonts w:ascii="Arial" w:hAnsi="Arial" w:cs="Arial"/>
          <w:sz w:val="22"/>
          <w:szCs w:val="22"/>
          <w:lang w:val="en"/>
        </w:rPr>
        <w:t xml:space="preserve">Cunningham, P, Gök, A. Laredo P. 2013. </w:t>
      </w:r>
      <w:r w:rsidR="00E929A6">
        <w:rPr>
          <w:rFonts w:ascii="Arial" w:hAnsi="Arial" w:cs="Arial"/>
          <w:sz w:val="22"/>
          <w:szCs w:val="22"/>
          <w:lang w:val="en"/>
        </w:rPr>
        <w:t>T</w:t>
      </w:r>
      <w:r w:rsidR="00E929A6" w:rsidRPr="00286B6E">
        <w:rPr>
          <w:rFonts w:ascii="Arial" w:hAnsi="Arial" w:cs="Arial"/>
          <w:sz w:val="22"/>
          <w:szCs w:val="22"/>
          <w:lang w:val="en"/>
        </w:rPr>
        <w:t xml:space="preserve">he impact of direct support to R&amp;D and innovation in firms. </w:t>
      </w:r>
      <w:r w:rsidRPr="00286B6E">
        <w:rPr>
          <w:rStyle w:val="Emphasis"/>
          <w:rFonts w:ascii="Arial" w:eastAsia="Cambria" w:hAnsi="Arial" w:cs="Arial"/>
          <w:sz w:val="22"/>
          <w:szCs w:val="22"/>
          <w:lang w:val="en"/>
        </w:rPr>
        <w:t>Compendium of Evidence on the Effectiveness of Innovation Policy</w:t>
      </w:r>
      <w:r w:rsidR="00C74300">
        <w:rPr>
          <w:rFonts w:ascii="Arial" w:hAnsi="Arial" w:cs="Arial"/>
          <w:sz w:val="22"/>
          <w:szCs w:val="22"/>
          <w:lang w:val="en"/>
        </w:rPr>
        <w:t>.</w:t>
      </w:r>
      <w:r w:rsidRPr="00286B6E">
        <w:rPr>
          <w:rFonts w:ascii="Arial" w:hAnsi="Arial" w:cs="Arial"/>
          <w:sz w:val="22"/>
          <w:szCs w:val="22"/>
          <w:lang w:val="en"/>
        </w:rPr>
        <w:t xml:space="preserve"> </w:t>
      </w:r>
      <w:r w:rsidR="00C74300" w:rsidRPr="00286B6E">
        <w:rPr>
          <w:rFonts w:ascii="Arial" w:hAnsi="Arial" w:cs="Arial"/>
          <w:sz w:val="22"/>
          <w:szCs w:val="22"/>
          <w:lang w:val="en"/>
        </w:rPr>
        <w:t>London</w:t>
      </w:r>
      <w:r w:rsidR="00C74300">
        <w:rPr>
          <w:rFonts w:ascii="Arial" w:hAnsi="Arial" w:cs="Arial"/>
          <w:sz w:val="22"/>
          <w:szCs w:val="22"/>
          <w:lang w:val="en"/>
        </w:rPr>
        <w:t>:</w:t>
      </w:r>
      <w:r w:rsidR="00C74300" w:rsidRPr="00286B6E">
        <w:rPr>
          <w:rFonts w:ascii="Arial" w:hAnsi="Arial" w:cs="Arial"/>
          <w:sz w:val="22"/>
          <w:szCs w:val="22"/>
          <w:lang w:val="en"/>
        </w:rPr>
        <w:t xml:space="preserve"> </w:t>
      </w:r>
      <w:r w:rsidRPr="00286B6E">
        <w:rPr>
          <w:rFonts w:ascii="Arial" w:hAnsi="Arial" w:cs="Arial"/>
          <w:sz w:val="22"/>
          <w:szCs w:val="22"/>
          <w:lang w:val="en"/>
        </w:rPr>
        <w:t>NESTA</w:t>
      </w:r>
      <w:r w:rsidR="00C74300">
        <w:rPr>
          <w:rFonts w:ascii="Arial" w:hAnsi="Arial" w:cs="Arial"/>
          <w:sz w:val="22"/>
          <w:szCs w:val="22"/>
          <w:lang w:val="en"/>
        </w:rPr>
        <w:t>.</w:t>
      </w:r>
      <w:r w:rsidR="00C74300" w:rsidRPr="00C74300">
        <w:rPr>
          <w:rFonts w:ascii="Arial" w:hAnsi="Arial" w:cs="Arial"/>
          <w:sz w:val="22"/>
          <w:szCs w:val="22"/>
          <w:lang w:val="en"/>
        </w:rPr>
        <w:t xml:space="preserve"> </w:t>
      </w:r>
      <w:r w:rsidR="00C74300" w:rsidRPr="00286B6E">
        <w:rPr>
          <w:rFonts w:ascii="Arial" w:hAnsi="Arial" w:cs="Arial"/>
          <w:sz w:val="22"/>
          <w:szCs w:val="22"/>
          <w:lang w:val="en"/>
        </w:rPr>
        <w:t>Working Paper No. 13/03</w:t>
      </w:r>
      <w:r w:rsidR="00C74300">
        <w:rPr>
          <w:rFonts w:ascii="Arial" w:hAnsi="Arial" w:cs="Arial"/>
          <w:sz w:val="22"/>
          <w:szCs w:val="22"/>
          <w:lang w:val="en"/>
        </w:rPr>
        <w:t>.</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Czarnitzki, D. &amp; Kraft, K. 2012. Spillovers of innovation activities and their profitability. </w:t>
      </w:r>
      <w:r w:rsidRPr="00286B6E">
        <w:rPr>
          <w:rFonts w:ascii="Arial" w:hAnsi="Arial" w:cs="Arial"/>
          <w:i/>
          <w:noProof/>
          <w:sz w:val="22"/>
          <w:szCs w:val="22"/>
        </w:rPr>
        <w:t>Oxford Economic Papers-New Series</w:t>
      </w:r>
      <w:r w:rsidR="00C74300">
        <w:rPr>
          <w:rFonts w:ascii="Arial" w:hAnsi="Arial" w:cs="Arial"/>
          <w:i/>
          <w:noProof/>
          <w:sz w:val="22"/>
          <w:szCs w:val="22"/>
        </w:rPr>
        <w:t xml:space="preserve">. </w:t>
      </w:r>
      <w:r w:rsidRPr="00286B6E">
        <w:rPr>
          <w:rFonts w:ascii="Arial" w:hAnsi="Arial" w:cs="Arial"/>
          <w:noProof/>
          <w:sz w:val="22"/>
          <w:szCs w:val="22"/>
        </w:rPr>
        <w:t>64</w:t>
      </w:r>
      <w:r w:rsidRPr="00286B6E">
        <w:rPr>
          <w:rFonts w:ascii="Arial" w:hAnsi="Arial" w:cs="Arial"/>
          <w:b/>
          <w:noProof/>
          <w:sz w:val="22"/>
          <w:szCs w:val="22"/>
        </w:rPr>
        <w:t>,</w:t>
      </w:r>
      <w:r w:rsidRPr="00286B6E">
        <w:rPr>
          <w:rFonts w:ascii="Arial" w:hAnsi="Arial" w:cs="Arial"/>
          <w:noProof/>
          <w:sz w:val="22"/>
          <w:szCs w:val="22"/>
        </w:rPr>
        <w:t xml:space="preserve"> 302-322.</w:t>
      </w:r>
      <w:bookmarkEnd w:id="37"/>
    </w:p>
    <w:p w:rsidR="00286B6E" w:rsidRPr="00286B6E" w:rsidRDefault="00286B6E" w:rsidP="00286B6E">
      <w:pPr>
        <w:spacing w:after="300" w:line="360" w:lineRule="auto"/>
        <w:jc w:val="both"/>
        <w:rPr>
          <w:rFonts w:ascii="Arial" w:hAnsi="Arial" w:cs="Arial"/>
          <w:noProof/>
          <w:sz w:val="22"/>
          <w:szCs w:val="22"/>
        </w:rPr>
      </w:pPr>
      <w:bookmarkStart w:id="38" w:name="_ENREF_29"/>
      <w:r w:rsidRPr="00286B6E">
        <w:rPr>
          <w:rFonts w:ascii="Arial" w:hAnsi="Arial" w:cs="Arial"/>
          <w:noProof/>
          <w:sz w:val="22"/>
          <w:szCs w:val="22"/>
        </w:rPr>
        <w:t xml:space="preserve">Czarnitzki, D. &amp; Licht, G. 2006. Additionality of public R&amp;D grants in a transition economy. </w:t>
      </w:r>
      <w:r w:rsidRPr="00286B6E">
        <w:rPr>
          <w:rFonts w:ascii="Arial" w:hAnsi="Arial" w:cs="Arial"/>
          <w:i/>
          <w:noProof/>
          <w:sz w:val="22"/>
          <w:szCs w:val="22"/>
        </w:rPr>
        <w:t>Economics of Transition</w:t>
      </w:r>
      <w:r w:rsidR="00C74300">
        <w:rPr>
          <w:rFonts w:ascii="Arial" w:hAnsi="Arial" w:cs="Arial"/>
          <w:i/>
          <w:noProof/>
          <w:sz w:val="22"/>
          <w:szCs w:val="22"/>
        </w:rPr>
        <w:t xml:space="preserve">. </w:t>
      </w:r>
      <w:r w:rsidRPr="00286B6E">
        <w:rPr>
          <w:rFonts w:ascii="Arial" w:hAnsi="Arial" w:cs="Arial"/>
          <w:noProof/>
          <w:sz w:val="22"/>
          <w:szCs w:val="22"/>
        </w:rPr>
        <w:t>14</w:t>
      </w:r>
      <w:r w:rsidRPr="00286B6E">
        <w:rPr>
          <w:rFonts w:ascii="Arial" w:hAnsi="Arial" w:cs="Arial"/>
          <w:b/>
          <w:noProof/>
          <w:sz w:val="22"/>
          <w:szCs w:val="22"/>
        </w:rPr>
        <w:t>,</w:t>
      </w:r>
      <w:r w:rsidRPr="00286B6E">
        <w:rPr>
          <w:rFonts w:ascii="Arial" w:hAnsi="Arial" w:cs="Arial"/>
          <w:noProof/>
          <w:sz w:val="22"/>
          <w:szCs w:val="22"/>
        </w:rPr>
        <w:t xml:space="preserve"> 101-131.</w:t>
      </w:r>
      <w:bookmarkEnd w:id="38"/>
    </w:p>
    <w:p w:rsidR="00286B6E" w:rsidRPr="00286B6E" w:rsidRDefault="00286B6E" w:rsidP="00286B6E">
      <w:pPr>
        <w:autoSpaceDE w:val="0"/>
        <w:autoSpaceDN w:val="0"/>
        <w:adjustRightInd w:val="0"/>
        <w:spacing w:after="300" w:line="360" w:lineRule="auto"/>
        <w:jc w:val="both"/>
        <w:rPr>
          <w:rFonts w:ascii="Arial" w:hAnsi="Arial" w:cs="Arial"/>
          <w:sz w:val="22"/>
          <w:szCs w:val="22"/>
        </w:rPr>
      </w:pPr>
      <w:bookmarkStart w:id="39" w:name="_ENREF_30"/>
      <w:r w:rsidRPr="00286B6E">
        <w:rPr>
          <w:rFonts w:ascii="Arial" w:hAnsi="Arial" w:cs="Arial"/>
          <w:sz w:val="22"/>
          <w:szCs w:val="22"/>
        </w:rPr>
        <w:t xml:space="preserve">Dasgupta, P. &amp; David, P.A. 1994. Towards a new economics of science. </w:t>
      </w:r>
      <w:r w:rsidRPr="00C74300">
        <w:rPr>
          <w:rFonts w:ascii="Arial" w:hAnsi="Arial" w:cs="Arial"/>
          <w:i/>
          <w:sz w:val="22"/>
          <w:szCs w:val="22"/>
        </w:rPr>
        <w:t>Research Policy</w:t>
      </w:r>
      <w:r w:rsidR="00C74300">
        <w:rPr>
          <w:rFonts w:ascii="Arial" w:hAnsi="Arial" w:cs="Arial"/>
          <w:sz w:val="22"/>
          <w:szCs w:val="22"/>
        </w:rPr>
        <w:t>.</w:t>
      </w:r>
      <w:r w:rsidRPr="00286B6E">
        <w:rPr>
          <w:rFonts w:ascii="Arial" w:hAnsi="Arial" w:cs="Arial"/>
          <w:sz w:val="22"/>
          <w:szCs w:val="22"/>
        </w:rPr>
        <w:t xml:space="preserve"> 23, 47–521.</w:t>
      </w:r>
    </w:p>
    <w:p w:rsidR="00286B6E" w:rsidRPr="00286B6E" w:rsidRDefault="00286B6E" w:rsidP="00286B6E">
      <w:pPr>
        <w:autoSpaceDE w:val="0"/>
        <w:autoSpaceDN w:val="0"/>
        <w:adjustRightInd w:val="0"/>
        <w:spacing w:after="300" w:line="360" w:lineRule="auto"/>
        <w:jc w:val="both"/>
        <w:rPr>
          <w:rFonts w:ascii="Arial" w:hAnsi="Arial" w:cs="Arial"/>
          <w:sz w:val="22"/>
          <w:szCs w:val="22"/>
        </w:rPr>
      </w:pPr>
      <w:r w:rsidRPr="00286B6E">
        <w:rPr>
          <w:rFonts w:ascii="Arial" w:hAnsi="Arial" w:cs="Arial"/>
          <w:sz w:val="22"/>
          <w:szCs w:val="22"/>
        </w:rPr>
        <w:lastRenderedPageBreak/>
        <w:t xml:space="preserve">Davenport S., Grimes C. &amp; Davies J. 1998. Research collaboration and behavioural additionality:  A New Zealand case study. </w:t>
      </w:r>
      <w:r w:rsidRPr="00286B6E">
        <w:rPr>
          <w:rFonts w:ascii="Arial" w:hAnsi="Arial" w:cs="Arial"/>
          <w:iCs/>
          <w:sz w:val="22"/>
          <w:szCs w:val="22"/>
        </w:rPr>
        <w:t>Technol</w:t>
      </w:r>
      <w:r w:rsidRPr="00286B6E">
        <w:rPr>
          <w:rFonts w:ascii="Arial" w:hAnsi="Arial" w:cs="Arial"/>
          <w:sz w:val="22"/>
          <w:szCs w:val="22"/>
        </w:rPr>
        <w:t xml:space="preserve">ogy </w:t>
      </w:r>
      <w:r w:rsidRPr="00286B6E">
        <w:rPr>
          <w:rFonts w:ascii="Arial" w:hAnsi="Arial" w:cs="Arial"/>
          <w:iCs/>
          <w:sz w:val="22"/>
          <w:szCs w:val="22"/>
        </w:rPr>
        <w:t>Anal</w:t>
      </w:r>
      <w:r w:rsidRPr="00286B6E">
        <w:rPr>
          <w:rFonts w:ascii="Arial" w:hAnsi="Arial" w:cs="Arial"/>
          <w:sz w:val="22"/>
          <w:szCs w:val="22"/>
        </w:rPr>
        <w:t xml:space="preserve">ysis and </w:t>
      </w:r>
      <w:r w:rsidRPr="00286B6E">
        <w:rPr>
          <w:rFonts w:ascii="Arial" w:hAnsi="Arial" w:cs="Arial"/>
          <w:iCs/>
          <w:sz w:val="22"/>
          <w:szCs w:val="22"/>
        </w:rPr>
        <w:t>Strateg</w:t>
      </w:r>
      <w:r w:rsidR="000E00C9">
        <w:rPr>
          <w:rFonts w:ascii="Arial" w:hAnsi="Arial" w:cs="Arial"/>
          <w:sz w:val="22"/>
          <w:szCs w:val="22"/>
        </w:rPr>
        <w:t>ic Management. 10(1),</w:t>
      </w:r>
      <w:r w:rsidRPr="00286B6E">
        <w:rPr>
          <w:rFonts w:ascii="Arial" w:hAnsi="Arial" w:cs="Arial"/>
          <w:sz w:val="22"/>
          <w:szCs w:val="22"/>
        </w:rPr>
        <w:t xml:space="preserve"> 55-67.</w:t>
      </w:r>
    </w:p>
    <w:p w:rsidR="00286B6E" w:rsidRPr="00286B6E" w:rsidRDefault="00286B6E" w:rsidP="00286B6E">
      <w:pPr>
        <w:autoSpaceDE w:val="0"/>
        <w:autoSpaceDN w:val="0"/>
        <w:adjustRightInd w:val="0"/>
        <w:spacing w:after="300" w:line="360" w:lineRule="auto"/>
        <w:jc w:val="both"/>
        <w:rPr>
          <w:rFonts w:ascii="Arial" w:hAnsi="Arial" w:cs="Arial"/>
          <w:sz w:val="22"/>
          <w:szCs w:val="22"/>
        </w:rPr>
      </w:pPr>
      <w:r w:rsidRPr="00286B6E">
        <w:rPr>
          <w:rFonts w:ascii="Arial" w:hAnsi="Arial" w:cs="Arial"/>
          <w:sz w:val="22"/>
          <w:szCs w:val="22"/>
        </w:rPr>
        <w:t>David, P.A., Hall, B</w:t>
      </w:r>
      <w:r w:rsidR="002A7D59">
        <w:rPr>
          <w:rFonts w:ascii="Arial" w:hAnsi="Arial" w:cs="Arial"/>
          <w:sz w:val="22"/>
          <w:szCs w:val="22"/>
        </w:rPr>
        <w:t xml:space="preserve">. </w:t>
      </w:r>
      <w:r w:rsidRPr="00286B6E">
        <w:rPr>
          <w:rFonts w:ascii="Arial" w:hAnsi="Arial" w:cs="Arial"/>
          <w:sz w:val="22"/>
          <w:szCs w:val="22"/>
        </w:rPr>
        <w:t>H. &amp; Toole, A.</w:t>
      </w:r>
      <w:r w:rsidR="002A7D59">
        <w:rPr>
          <w:rFonts w:ascii="Arial" w:hAnsi="Arial" w:cs="Arial"/>
          <w:sz w:val="22"/>
          <w:szCs w:val="22"/>
        </w:rPr>
        <w:t xml:space="preserve"> </w:t>
      </w:r>
      <w:r w:rsidRPr="00286B6E">
        <w:rPr>
          <w:rFonts w:ascii="Arial" w:hAnsi="Arial" w:cs="Arial"/>
          <w:sz w:val="22"/>
          <w:szCs w:val="22"/>
        </w:rPr>
        <w:t xml:space="preserve">A. 2000. Is public R&amp;D a complement or substitute for private R&amp;D? A review of the econometric evidence. </w:t>
      </w:r>
      <w:r w:rsidRPr="002A7D59">
        <w:rPr>
          <w:rFonts w:ascii="Arial" w:hAnsi="Arial" w:cs="Arial"/>
          <w:i/>
          <w:sz w:val="22"/>
          <w:szCs w:val="22"/>
        </w:rPr>
        <w:t>Research Policy</w:t>
      </w:r>
      <w:r w:rsidR="00C74300">
        <w:rPr>
          <w:rFonts w:ascii="Arial" w:hAnsi="Arial" w:cs="Arial"/>
          <w:sz w:val="22"/>
          <w:szCs w:val="22"/>
        </w:rPr>
        <w:t>.</w:t>
      </w:r>
      <w:r w:rsidRPr="00286B6E">
        <w:rPr>
          <w:rFonts w:ascii="Arial" w:hAnsi="Arial" w:cs="Arial"/>
          <w:sz w:val="22"/>
          <w:szCs w:val="22"/>
        </w:rPr>
        <w:t xml:space="preserve"> 29, 497-529.</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De Bondt, R. 1996. Spillovers and innovative activities. </w:t>
      </w:r>
      <w:r w:rsidRPr="00286B6E">
        <w:rPr>
          <w:rFonts w:ascii="Arial" w:hAnsi="Arial" w:cs="Arial"/>
          <w:i/>
          <w:noProof/>
          <w:sz w:val="22"/>
          <w:szCs w:val="22"/>
        </w:rPr>
        <w:t>International Journal of Industrial Organization</w:t>
      </w:r>
      <w:r w:rsidR="00C74300">
        <w:rPr>
          <w:rFonts w:ascii="Arial" w:hAnsi="Arial" w:cs="Arial"/>
          <w:i/>
          <w:noProof/>
          <w:sz w:val="22"/>
          <w:szCs w:val="22"/>
        </w:rPr>
        <w:t>.</w:t>
      </w:r>
      <w:r w:rsidRPr="00286B6E">
        <w:rPr>
          <w:rFonts w:ascii="Arial" w:hAnsi="Arial" w:cs="Arial"/>
          <w:noProof/>
          <w:sz w:val="22"/>
          <w:szCs w:val="22"/>
        </w:rPr>
        <w:t xml:space="preserve"> 15</w:t>
      </w:r>
      <w:r w:rsidRPr="00286B6E">
        <w:rPr>
          <w:rFonts w:ascii="Arial" w:hAnsi="Arial" w:cs="Arial"/>
          <w:b/>
          <w:noProof/>
          <w:sz w:val="22"/>
          <w:szCs w:val="22"/>
        </w:rPr>
        <w:t>,</w:t>
      </w:r>
      <w:r w:rsidRPr="00286B6E">
        <w:rPr>
          <w:rFonts w:ascii="Arial" w:hAnsi="Arial" w:cs="Arial"/>
          <w:noProof/>
          <w:sz w:val="22"/>
          <w:szCs w:val="22"/>
        </w:rPr>
        <w:t xml:space="preserve"> 1-28.</w:t>
      </w:r>
      <w:bookmarkEnd w:id="39"/>
    </w:p>
    <w:p w:rsidR="00286B6E" w:rsidRPr="00286B6E" w:rsidRDefault="00286B6E" w:rsidP="00286B6E">
      <w:pPr>
        <w:spacing w:after="300" w:line="360" w:lineRule="auto"/>
        <w:jc w:val="both"/>
        <w:rPr>
          <w:rFonts w:ascii="Arial" w:hAnsi="Arial" w:cs="Arial"/>
          <w:color w:val="000000"/>
          <w:sz w:val="22"/>
          <w:szCs w:val="22"/>
        </w:rPr>
      </w:pPr>
      <w:bookmarkStart w:id="40" w:name="_ENREF_31"/>
      <w:r w:rsidRPr="00286B6E">
        <w:rPr>
          <w:rFonts w:ascii="Arial" w:hAnsi="Arial" w:cs="Arial"/>
          <w:color w:val="000000"/>
          <w:sz w:val="22"/>
          <w:szCs w:val="22"/>
        </w:rPr>
        <w:t xml:space="preserve">De Holan, P.M. &amp; Phillips, N. 2004. Remembrance of things past? The dynamics of organizational forgetting. </w:t>
      </w:r>
      <w:r w:rsidRPr="002A7D59">
        <w:rPr>
          <w:rFonts w:ascii="Arial" w:hAnsi="Arial" w:cs="Arial"/>
          <w:i/>
          <w:iCs/>
          <w:color w:val="000000"/>
          <w:sz w:val="22"/>
          <w:szCs w:val="22"/>
        </w:rPr>
        <w:t>Management Science</w:t>
      </w:r>
      <w:r w:rsidR="00C74300">
        <w:rPr>
          <w:rFonts w:ascii="Arial" w:hAnsi="Arial" w:cs="Arial"/>
          <w:color w:val="000000"/>
          <w:sz w:val="22"/>
          <w:szCs w:val="22"/>
        </w:rPr>
        <w:t>.</w:t>
      </w:r>
      <w:r w:rsidRPr="00286B6E">
        <w:rPr>
          <w:rFonts w:ascii="Arial" w:hAnsi="Arial" w:cs="Arial"/>
          <w:color w:val="000000"/>
          <w:sz w:val="22"/>
          <w:szCs w:val="22"/>
        </w:rPr>
        <w:t xml:space="preserve"> 50, 1603-1613.</w:t>
      </w:r>
    </w:p>
    <w:p w:rsidR="00286B6E" w:rsidRPr="00286B6E" w:rsidRDefault="00286B6E" w:rsidP="00286B6E">
      <w:pPr>
        <w:spacing w:after="300" w:line="360" w:lineRule="auto"/>
        <w:jc w:val="both"/>
        <w:rPr>
          <w:rFonts w:ascii="Arial" w:hAnsi="Arial" w:cs="Arial"/>
          <w:sz w:val="22"/>
          <w:szCs w:val="22"/>
        </w:rPr>
      </w:pPr>
      <w:r w:rsidRPr="00286B6E">
        <w:rPr>
          <w:rFonts w:ascii="Arial" w:hAnsi="Arial" w:cs="Arial"/>
          <w:sz w:val="22"/>
          <w:szCs w:val="22"/>
        </w:rPr>
        <w:t xml:space="preserve">Department of Industry Tourism and Resources of Australia (DITRA), 2006. Behavioural additionality of business R&amp;D grant programmes in Australia. </w:t>
      </w:r>
      <w:r w:rsidR="002A7D59">
        <w:rPr>
          <w:rFonts w:ascii="Arial" w:hAnsi="Arial" w:cs="Arial"/>
          <w:sz w:val="22"/>
          <w:szCs w:val="22"/>
        </w:rPr>
        <w:t>In: OECD, ed.</w:t>
      </w:r>
      <w:r w:rsidRPr="00286B6E">
        <w:rPr>
          <w:rFonts w:ascii="Arial" w:hAnsi="Arial" w:cs="Arial"/>
          <w:sz w:val="22"/>
          <w:szCs w:val="22"/>
        </w:rPr>
        <w:t xml:space="preserve"> </w:t>
      </w:r>
      <w:r w:rsidRPr="002A7D59">
        <w:rPr>
          <w:rFonts w:ascii="Arial" w:hAnsi="Arial" w:cs="Arial"/>
          <w:i/>
          <w:sz w:val="22"/>
          <w:szCs w:val="22"/>
        </w:rPr>
        <w:t xml:space="preserve">Government R&amp;D </w:t>
      </w:r>
      <w:r w:rsidR="002A7D59">
        <w:rPr>
          <w:rFonts w:ascii="Arial" w:hAnsi="Arial" w:cs="Arial"/>
          <w:i/>
          <w:sz w:val="22"/>
          <w:szCs w:val="22"/>
        </w:rPr>
        <w:t>f</w:t>
      </w:r>
      <w:r w:rsidRPr="002A7D59">
        <w:rPr>
          <w:rFonts w:ascii="Arial" w:hAnsi="Arial" w:cs="Arial"/>
          <w:i/>
          <w:sz w:val="22"/>
          <w:szCs w:val="22"/>
        </w:rPr>
        <w:t xml:space="preserve">unding and company behaviour: </w:t>
      </w:r>
      <w:r w:rsidR="002A7D59">
        <w:rPr>
          <w:rFonts w:ascii="Arial" w:hAnsi="Arial" w:cs="Arial"/>
          <w:i/>
          <w:sz w:val="22"/>
          <w:szCs w:val="22"/>
        </w:rPr>
        <w:t>m</w:t>
      </w:r>
      <w:r w:rsidRPr="002A7D59">
        <w:rPr>
          <w:rFonts w:ascii="Arial" w:hAnsi="Arial" w:cs="Arial"/>
          <w:i/>
          <w:sz w:val="22"/>
          <w:szCs w:val="22"/>
        </w:rPr>
        <w:t>easuring behavioural additionality</w:t>
      </w:r>
      <w:r w:rsidRPr="00286B6E">
        <w:rPr>
          <w:rFonts w:ascii="Arial" w:hAnsi="Arial" w:cs="Arial"/>
          <w:sz w:val="22"/>
          <w:szCs w:val="22"/>
        </w:rPr>
        <w:t xml:space="preserve">. </w:t>
      </w:r>
      <w:r w:rsidR="002A7D59" w:rsidRPr="00286B6E">
        <w:rPr>
          <w:rFonts w:ascii="Arial" w:hAnsi="Arial" w:cs="Arial"/>
          <w:sz w:val="22"/>
          <w:szCs w:val="22"/>
        </w:rPr>
        <w:t>Paris</w:t>
      </w:r>
      <w:r w:rsidR="002A7D59">
        <w:rPr>
          <w:rFonts w:ascii="Arial" w:hAnsi="Arial" w:cs="Arial"/>
          <w:sz w:val="22"/>
          <w:szCs w:val="22"/>
        </w:rPr>
        <w:t>: OECD.</w:t>
      </w:r>
    </w:p>
    <w:p w:rsidR="00286B6E" w:rsidRPr="00286B6E" w:rsidRDefault="00286B6E" w:rsidP="00B60E18">
      <w:pPr>
        <w:spacing w:after="300" w:line="360" w:lineRule="auto"/>
        <w:jc w:val="both"/>
        <w:rPr>
          <w:rFonts w:ascii="Arial" w:hAnsi="Arial" w:cs="Arial"/>
          <w:sz w:val="22"/>
          <w:szCs w:val="22"/>
        </w:rPr>
      </w:pPr>
      <w:r w:rsidRPr="00286B6E">
        <w:rPr>
          <w:rFonts w:ascii="Arial" w:hAnsi="Arial" w:cs="Arial"/>
          <w:sz w:val="22"/>
          <w:szCs w:val="22"/>
        </w:rPr>
        <w:t xml:space="preserve">Dosi, G. 1997. </w:t>
      </w:r>
      <w:hyperlink r:id="rId16" w:history="1">
        <w:r w:rsidRPr="003D21EB">
          <w:rPr>
            <w:rFonts w:ascii="Arial" w:hAnsi="Arial" w:cs="Arial"/>
            <w:sz w:val="22"/>
            <w:szCs w:val="22"/>
          </w:rPr>
          <w:t>Opportunities, Incentives and the Collective Patterns of Technological Change</w:t>
        </w:r>
      </w:hyperlink>
      <w:r w:rsidRPr="003D21EB">
        <w:rPr>
          <w:rFonts w:ascii="Arial" w:hAnsi="Arial" w:cs="Arial"/>
          <w:sz w:val="22"/>
          <w:szCs w:val="22"/>
        </w:rPr>
        <w:t>.</w:t>
      </w:r>
      <w:r w:rsidRPr="00286B6E">
        <w:rPr>
          <w:rFonts w:ascii="Arial" w:hAnsi="Arial" w:cs="Arial"/>
          <w:sz w:val="22"/>
          <w:szCs w:val="22"/>
        </w:rPr>
        <w:t xml:space="preserve"> </w:t>
      </w:r>
      <w:hyperlink r:id="rId17" w:history="1">
        <w:r w:rsidRPr="003D21EB">
          <w:rPr>
            <w:rFonts w:ascii="Arial" w:hAnsi="Arial" w:cs="Arial"/>
            <w:i/>
          </w:rPr>
          <w:t>Economic Journal</w:t>
        </w:r>
      </w:hyperlink>
      <w:r w:rsidR="003D21EB">
        <w:rPr>
          <w:rFonts w:ascii="Arial" w:hAnsi="Arial" w:cs="Arial"/>
          <w:sz w:val="22"/>
          <w:szCs w:val="22"/>
        </w:rPr>
        <w:t xml:space="preserve">. </w:t>
      </w:r>
      <w:r w:rsidR="00AB428C">
        <w:rPr>
          <w:rFonts w:ascii="Arial" w:hAnsi="Arial" w:cs="Arial"/>
          <w:sz w:val="22"/>
          <w:szCs w:val="22"/>
        </w:rPr>
        <w:t xml:space="preserve">[Online]. </w:t>
      </w:r>
      <w:r w:rsidRPr="00286B6E">
        <w:rPr>
          <w:rFonts w:ascii="Arial" w:hAnsi="Arial" w:cs="Arial"/>
          <w:sz w:val="22"/>
          <w:szCs w:val="22"/>
        </w:rPr>
        <w:t>Royal Economic Society</w:t>
      </w:r>
      <w:r w:rsidR="00C74300">
        <w:rPr>
          <w:rFonts w:ascii="Arial" w:hAnsi="Arial" w:cs="Arial"/>
          <w:sz w:val="22"/>
          <w:szCs w:val="22"/>
        </w:rPr>
        <w:t>. 107</w:t>
      </w:r>
      <w:r w:rsidRPr="00286B6E">
        <w:rPr>
          <w:rFonts w:ascii="Arial" w:hAnsi="Arial" w:cs="Arial"/>
          <w:sz w:val="22"/>
          <w:szCs w:val="22"/>
        </w:rPr>
        <w:t xml:space="preserve"> </w:t>
      </w:r>
      <w:r w:rsidR="00C74300">
        <w:rPr>
          <w:rFonts w:ascii="Arial" w:hAnsi="Arial" w:cs="Arial"/>
          <w:sz w:val="22"/>
          <w:szCs w:val="22"/>
        </w:rPr>
        <w:t>(</w:t>
      </w:r>
      <w:r w:rsidRPr="00286B6E">
        <w:rPr>
          <w:rFonts w:ascii="Arial" w:hAnsi="Arial" w:cs="Arial"/>
          <w:sz w:val="22"/>
          <w:szCs w:val="22"/>
        </w:rPr>
        <w:t>444</w:t>
      </w:r>
      <w:r w:rsidR="00C74300">
        <w:rPr>
          <w:rFonts w:ascii="Arial" w:hAnsi="Arial" w:cs="Arial"/>
          <w:sz w:val="22"/>
          <w:szCs w:val="22"/>
        </w:rPr>
        <w:t>)</w:t>
      </w:r>
      <w:r w:rsidRPr="00286B6E">
        <w:rPr>
          <w:rFonts w:ascii="Arial" w:hAnsi="Arial" w:cs="Arial"/>
          <w:sz w:val="22"/>
          <w:szCs w:val="22"/>
        </w:rPr>
        <w:t>, 1530-47.</w:t>
      </w:r>
      <w:r w:rsidR="00AB428C">
        <w:rPr>
          <w:rFonts w:ascii="Arial" w:hAnsi="Arial" w:cs="Arial"/>
          <w:sz w:val="22"/>
          <w:szCs w:val="22"/>
        </w:rPr>
        <w:t xml:space="preserve"> Available from:</w:t>
      </w:r>
      <w:r w:rsidR="00A1138D">
        <w:rPr>
          <w:rFonts w:ascii="Arial" w:hAnsi="Arial" w:cs="Arial"/>
          <w:sz w:val="22"/>
          <w:szCs w:val="22"/>
        </w:rPr>
        <w:t xml:space="preserve"> </w:t>
      </w:r>
      <w:r w:rsidR="00A1138D" w:rsidRPr="00A1138D">
        <w:rPr>
          <w:rFonts w:ascii="Arial" w:hAnsi="Arial" w:cs="Arial"/>
          <w:sz w:val="22"/>
          <w:szCs w:val="22"/>
        </w:rPr>
        <w:t>http://ideas.repec.org/a/ecj/econjl/v107y1997i444p1530-47.html</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Duguet, E. 2004. Are R&amp;D subsidies a substitute or a complement to privately funded R&amp;D? Evidence from France using propensity score methods for non-experimental data. </w:t>
      </w:r>
      <w:r w:rsidRPr="00286B6E">
        <w:rPr>
          <w:rFonts w:ascii="Arial" w:hAnsi="Arial" w:cs="Arial"/>
          <w:i/>
          <w:noProof/>
          <w:sz w:val="22"/>
          <w:szCs w:val="22"/>
        </w:rPr>
        <w:t>Revue d’Economie Politique</w:t>
      </w:r>
      <w:r w:rsidR="00C74300">
        <w:rPr>
          <w:rFonts w:ascii="Arial" w:hAnsi="Arial" w:cs="Arial"/>
          <w:i/>
          <w:noProof/>
          <w:sz w:val="22"/>
          <w:szCs w:val="22"/>
        </w:rPr>
        <w:t>.</w:t>
      </w:r>
      <w:r w:rsidRPr="00286B6E">
        <w:rPr>
          <w:rFonts w:ascii="Arial" w:hAnsi="Arial" w:cs="Arial"/>
          <w:noProof/>
          <w:sz w:val="22"/>
          <w:szCs w:val="22"/>
        </w:rPr>
        <w:t xml:space="preserve"> 114</w:t>
      </w:r>
      <w:r w:rsidRPr="00286B6E">
        <w:rPr>
          <w:rFonts w:ascii="Arial" w:hAnsi="Arial" w:cs="Arial"/>
          <w:b/>
          <w:noProof/>
          <w:sz w:val="22"/>
          <w:szCs w:val="22"/>
        </w:rPr>
        <w:t>,</w:t>
      </w:r>
      <w:r w:rsidR="00C74300">
        <w:rPr>
          <w:rFonts w:ascii="Arial" w:hAnsi="Arial" w:cs="Arial"/>
          <w:noProof/>
          <w:sz w:val="22"/>
          <w:szCs w:val="22"/>
        </w:rPr>
        <w:t xml:space="preserve"> 263-</w:t>
      </w:r>
      <w:r w:rsidRPr="00286B6E">
        <w:rPr>
          <w:rFonts w:ascii="Arial" w:hAnsi="Arial" w:cs="Arial"/>
          <w:noProof/>
          <w:sz w:val="22"/>
          <w:szCs w:val="22"/>
        </w:rPr>
        <w:t>292.</w:t>
      </w:r>
      <w:bookmarkEnd w:id="40"/>
    </w:p>
    <w:p w:rsidR="00286B6E" w:rsidRPr="00286B6E" w:rsidRDefault="00286B6E" w:rsidP="00286B6E">
      <w:pPr>
        <w:spacing w:after="300" w:line="360" w:lineRule="auto"/>
        <w:jc w:val="both"/>
        <w:rPr>
          <w:rFonts w:ascii="Arial" w:hAnsi="Arial" w:cs="Arial"/>
          <w:noProof/>
          <w:sz w:val="22"/>
          <w:szCs w:val="22"/>
        </w:rPr>
      </w:pPr>
      <w:bookmarkStart w:id="41" w:name="_ENREF_32"/>
      <w:r w:rsidRPr="00286B6E">
        <w:rPr>
          <w:rFonts w:ascii="Arial" w:hAnsi="Arial" w:cs="Arial"/>
          <w:noProof/>
          <w:sz w:val="22"/>
          <w:szCs w:val="22"/>
        </w:rPr>
        <w:t xml:space="preserve">Falk, R. 2004. </w:t>
      </w:r>
      <w:r w:rsidRPr="00C74300">
        <w:rPr>
          <w:rFonts w:ascii="Arial" w:hAnsi="Arial" w:cs="Arial"/>
          <w:i/>
          <w:noProof/>
          <w:sz w:val="22"/>
          <w:szCs w:val="22"/>
        </w:rPr>
        <w:t>Behavioural Additionality effects of R&amp;D Subsidies</w:t>
      </w:r>
      <w:r w:rsidRPr="00286B6E">
        <w:rPr>
          <w:rFonts w:ascii="Arial" w:hAnsi="Arial" w:cs="Arial"/>
          <w:noProof/>
          <w:sz w:val="22"/>
          <w:szCs w:val="22"/>
        </w:rPr>
        <w:t>. Austrian Institute of Economic Research.</w:t>
      </w:r>
      <w:bookmarkEnd w:id="41"/>
    </w:p>
    <w:p w:rsidR="00D22FA3" w:rsidRDefault="00D22FA3">
      <w:pPr>
        <w:rPr>
          <w:rFonts w:ascii="Arial" w:hAnsi="Arial" w:cs="Arial"/>
          <w:sz w:val="22"/>
          <w:szCs w:val="22"/>
        </w:rPr>
      </w:pPr>
      <w:r>
        <w:rPr>
          <w:rFonts w:ascii="Arial" w:hAnsi="Arial" w:cs="Arial"/>
          <w:sz w:val="22"/>
          <w:szCs w:val="22"/>
        </w:rPr>
        <w:br w:type="page"/>
      </w:r>
    </w:p>
    <w:p w:rsidR="00286B6E" w:rsidRPr="00286B6E" w:rsidRDefault="00286B6E" w:rsidP="00286B6E">
      <w:pPr>
        <w:spacing w:after="300" w:line="360" w:lineRule="auto"/>
        <w:jc w:val="both"/>
        <w:rPr>
          <w:rFonts w:ascii="Arial" w:hAnsi="Arial" w:cs="Arial"/>
          <w:sz w:val="22"/>
          <w:szCs w:val="22"/>
        </w:rPr>
      </w:pPr>
      <w:r w:rsidRPr="00286B6E">
        <w:rPr>
          <w:rFonts w:ascii="Arial" w:hAnsi="Arial" w:cs="Arial"/>
          <w:sz w:val="22"/>
          <w:szCs w:val="22"/>
        </w:rPr>
        <w:lastRenderedPageBreak/>
        <w:t xml:space="preserve">Falk, R. 2006. Behavioural additionality of Austria’s Industrial Research Promotion Fund (FF). </w:t>
      </w:r>
      <w:r w:rsidR="001D0C93">
        <w:rPr>
          <w:rFonts w:ascii="Arial" w:hAnsi="Arial" w:cs="Arial"/>
          <w:sz w:val="22"/>
          <w:szCs w:val="22"/>
        </w:rPr>
        <w:t>In: OECD, ed.</w:t>
      </w:r>
      <w:r w:rsidR="00C74300">
        <w:rPr>
          <w:rFonts w:ascii="Arial" w:hAnsi="Arial" w:cs="Arial"/>
          <w:sz w:val="22"/>
          <w:szCs w:val="22"/>
        </w:rPr>
        <w:t xml:space="preserve"> </w:t>
      </w:r>
      <w:r w:rsidR="00C74300" w:rsidRPr="001D0C93">
        <w:rPr>
          <w:rFonts w:ascii="Arial" w:hAnsi="Arial" w:cs="Arial"/>
          <w:i/>
          <w:sz w:val="22"/>
          <w:szCs w:val="22"/>
        </w:rPr>
        <w:t>Government R&amp;D f</w:t>
      </w:r>
      <w:r w:rsidRPr="001D0C93">
        <w:rPr>
          <w:rFonts w:ascii="Arial" w:hAnsi="Arial" w:cs="Arial"/>
          <w:i/>
          <w:sz w:val="22"/>
          <w:szCs w:val="22"/>
        </w:rPr>
        <w:t>unding and</w:t>
      </w:r>
      <w:r w:rsidR="00D22FA3">
        <w:rPr>
          <w:rFonts w:ascii="Arial" w:hAnsi="Arial" w:cs="Arial"/>
          <w:i/>
          <w:sz w:val="22"/>
          <w:szCs w:val="22"/>
        </w:rPr>
        <w:t xml:space="preserve"> </w:t>
      </w:r>
      <w:r w:rsidRPr="001D0C93">
        <w:rPr>
          <w:rFonts w:ascii="Arial" w:hAnsi="Arial" w:cs="Arial"/>
          <w:i/>
          <w:sz w:val="22"/>
          <w:szCs w:val="22"/>
        </w:rPr>
        <w:t xml:space="preserve">company behaviour: </w:t>
      </w:r>
      <w:r w:rsidR="00C74300" w:rsidRPr="001D0C93">
        <w:rPr>
          <w:rFonts w:ascii="Arial" w:hAnsi="Arial" w:cs="Arial"/>
          <w:i/>
          <w:sz w:val="22"/>
          <w:szCs w:val="22"/>
        </w:rPr>
        <w:t>m</w:t>
      </w:r>
      <w:r w:rsidRPr="001D0C93">
        <w:rPr>
          <w:rFonts w:ascii="Arial" w:hAnsi="Arial" w:cs="Arial"/>
          <w:i/>
          <w:sz w:val="22"/>
          <w:szCs w:val="22"/>
        </w:rPr>
        <w:t>easuring behavioural additionality</w:t>
      </w:r>
      <w:r w:rsidR="00C74300">
        <w:rPr>
          <w:rFonts w:ascii="Arial" w:hAnsi="Arial" w:cs="Arial"/>
          <w:sz w:val="22"/>
          <w:szCs w:val="22"/>
        </w:rPr>
        <w:t>.</w:t>
      </w:r>
      <w:r w:rsidRPr="00286B6E">
        <w:rPr>
          <w:rFonts w:ascii="Arial" w:hAnsi="Arial" w:cs="Arial"/>
          <w:sz w:val="22"/>
          <w:szCs w:val="22"/>
        </w:rPr>
        <w:t xml:space="preserve"> </w:t>
      </w:r>
      <w:r w:rsidR="00C74300" w:rsidRPr="00286B6E">
        <w:rPr>
          <w:rFonts w:ascii="Arial" w:hAnsi="Arial" w:cs="Arial"/>
          <w:sz w:val="22"/>
          <w:szCs w:val="22"/>
        </w:rPr>
        <w:t>Paris</w:t>
      </w:r>
      <w:r w:rsidR="00C74300">
        <w:rPr>
          <w:rFonts w:ascii="Arial" w:hAnsi="Arial" w:cs="Arial"/>
          <w:sz w:val="22"/>
          <w:szCs w:val="22"/>
        </w:rPr>
        <w:t>: OECD.</w:t>
      </w:r>
    </w:p>
    <w:p w:rsidR="00286B6E" w:rsidRPr="00286B6E" w:rsidRDefault="00286B6E" w:rsidP="00286B6E">
      <w:pPr>
        <w:spacing w:after="300" w:line="360" w:lineRule="auto"/>
        <w:jc w:val="both"/>
        <w:rPr>
          <w:rFonts w:ascii="Arial" w:hAnsi="Arial" w:cs="Arial"/>
          <w:sz w:val="22"/>
          <w:szCs w:val="22"/>
        </w:rPr>
      </w:pPr>
      <w:r w:rsidRPr="00286B6E">
        <w:rPr>
          <w:rFonts w:ascii="Arial" w:hAnsi="Arial" w:cs="Arial"/>
          <w:sz w:val="22"/>
          <w:szCs w:val="22"/>
        </w:rPr>
        <w:t>Falk, R. 2007. Measuring the effects of public support schemes on firms’ innovation activities</w:t>
      </w:r>
      <w:r w:rsidR="00F27D78">
        <w:rPr>
          <w:rFonts w:ascii="Arial" w:hAnsi="Arial" w:cs="Arial"/>
          <w:sz w:val="22"/>
          <w:szCs w:val="22"/>
        </w:rPr>
        <w:t>:</w:t>
      </w:r>
      <w:r w:rsidRPr="00286B6E">
        <w:rPr>
          <w:rFonts w:ascii="Arial" w:hAnsi="Arial" w:cs="Arial"/>
          <w:sz w:val="22"/>
          <w:szCs w:val="22"/>
        </w:rPr>
        <w:t xml:space="preserve"> </w:t>
      </w:r>
      <w:r w:rsidR="00F27D78">
        <w:rPr>
          <w:rFonts w:ascii="Arial" w:hAnsi="Arial" w:cs="Arial"/>
          <w:sz w:val="22"/>
          <w:szCs w:val="22"/>
        </w:rPr>
        <w:t>s</w:t>
      </w:r>
      <w:r w:rsidRPr="00286B6E">
        <w:rPr>
          <w:rFonts w:ascii="Arial" w:hAnsi="Arial" w:cs="Arial"/>
          <w:sz w:val="22"/>
          <w:szCs w:val="22"/>
        </w:rPr>
        <w:t xml:space="preserve">urvey evidence from Austria. </w:t>
      </w:r>
      <w:r w:rsidRPr="0088784F">
        <w:rPr>
          <w:rFonts w:ascii="Arial" w:hAnsi="Arial" w:cs="Arial"/>
          <w:i/>
          <w:sz w:val="22"/>
          <w:szCs w:val="22"/>
        </w:rPr>
        <w:t>Research Policy</w:t>
      </w:r>
      <w:r w:rsidR="0088784F">
        <w:rPr>
          <w:rFonts w:ascii="Arial" w:hAnsi="Arial" w:cs="Arial"/>
          <w:sz w:val="22"/>
          <w:szCs w:val="22"/>
        </w:rPr>
        <w:t>.</w:t>
      </w:r>
      <w:r w:rsidRPr="00286B6E">
        <w:rPr>
          <w:rFonts w:ascii="Arial" w:hAnsi="Arial" w:cs="Arial"/>
          <w:sz w:val="22"/>
          <w:szCs w:val="22"/>
        </w:rPr>
        <w:t xml:space="preserve"> 36</w:t>
      </w:r>
      <w:r w:rsidR="003402DA">
        <w:rPr>
          <w:rFonts w:ascii="Arial" w:hAnsi="Arial" w:cs="Arial"/>
          <w:sz w:val="22"/>
          <w:szCs w:val="22"/>
        </w:rPr>
        <w:t xml:space="preserve"> (5)</w:t>
      </w:r>
      <w:r w:rsidRPr="00286B6E">
        <w:rPr>
          <w:rFonts w:ascii="Arial" w:hAnsi="Arial" w:cs="Arial"/>
          <w:sz w:val="22"/>
          <w:szCs w:val="22"/>
        </w:rPr>
        <w:t>, 665-679.</w:t>
      </w:r>
    </w:p>
    <w:p w:rsidR="00286B6E" w:rsidRPr="00286B6E" w:rsidRDefault="00286B6E" w:rsidP="00286B6E">
      <w:pPr>
        <w:spacing w:after="300" w:line="360" w:lineRule="auto"/>
        <w:jc w:val="both"/>
        <w:rPr>
          <w:rFonts w:ascii="Arial" w:hAnsi="Arial" w:cs="Arial"/>
          <w:sz w:val="22"/>
          <w:szCs w:val="22"/>
        </w:rPr>
      </w:pPr>
      <w:r w:rsidRPr="00286B6E">
        <w:rPr>
          <w:rFonts w:ascii="Arial" w:hAnsi="Arial" w:cs="Arial"/>
          <w:sz w:val="22"/>
          <w:szCs w:val="22"/>
        </w:rPr>
        <w:t>Fier, A.</w:t>
      </w:r>
      <w:r w:rsidR="003402DA">
        <w:rPr>
          <w:rFonts w:ascii="Arial" w:hAnsi="Arial" w:cs="Arial"/>
          <w:sz w:val="22"/>
          <w:szCs w:val="22"/>
        </w:rPr>
        <w:t>,</w:t>
      </w:r>
      <w:r w:rsidRPr="00286B6E">
        <w:rPr>
          <w:rFonts w:ascii="Arial" w:hAnsi="Arial" w:cs="Arial"/>
          <w:sz w:val="22"/>
          <w:szCs w:val="22"/>
        </w:rPr>
        <w:t xml:space="preserve"> Aschhoff, B. &amp; Löhlein, H. 2006. Behavioural additionality of public R&amp;D funding in Germany. </w:t>
      </w:r>
      <w:r w:rsidR="00723126">
        <w:rPr>
          <w:rFonts w:ascii="Arial" w:hAnsi="Arial" w:cs="Arial"/>
          <w:sz w:val="22"/>
          <w:szCs w:val="22"/>
        </w:rPr>
        <w:t>I</w:t>
      </w:r>
      <w:r w:rsidRPr="00286B6E">
        <w:rPr>
          <w:rFonts w:ascii="Arial" w:hAnsi="Arial" w:cs="Arial"/>
          <w:sz w:val="22"/>
          <w:szCs w:val="22"/>
        </w:rPr>
        <w:t>n: OECD</w:t>
      </w:r>
      <w:r w:rsidR="003402DA">
        <w:rPr>
          <w:rFonts w:ascii="Arial" w:hAnsi="Arial" w:cs="Arial"/>
          <w:sz w:val="22"/>
          <w:szCs w:val="22"/>
        </w:rPr>
        <w:t>, ed.</w:t>
      </w:r>
      <w:r w:rsidRPr="00286B6E">
        <w:rPr>
          <w:rFonts w:ascii="Arial" w:hAnsi="Arial" w:cs="Arial"/>
          <w:sz w:val="22"/>
          <w:szCs w:val="22"/>
        </w:rPr>
        <w:t xml:space="preserve"> </w:t>
      </w:r>
      <w:r w:rsidRPr="003402DA">
        <w:rPr>
          <w:rFonts w:ascii="Arial" w:hAnsi="Arial" w:cs="Arial"/>
          <w:i/>
          <w:sz w:val="22"/>
          <w:szCs w:val="22"/>
        </w:rPr>
        <w:t xml:space="preserve">Government R&amp;D </w:t>
      </w:r>
      <w:r w:rsidR="00723126" w:rsidRPr="003402DA">
        <w:rPr>
          <w:rFonts w:ascii="Arial" w:hAnsi="Arial" w:cs="Arial"/>
          <w:i/>
          <w:sz w:val="22"/>
          <w:szCs w:val="22"/>
        </w:rPr>
        <w:t>f</w:t>
      </w:r>
      <w:r w:rsidRPr="003402DA">
        <w:rPr>
          <w:rFonts w:ascii="Arial" w:hAnsi="Arial" w:cs="Arial"/>
          <w:i/>
          <w:sz w:val="22"/>
          <w:szCs w:val="22"/>
        </w:rPr>
        <w:t xml:space="preserve">unding and company behaviour: </w:t>
      </w:r>
      <w:r w:rsidR="00723126" w:rsidRPr="003402DA">
        <w:rPr>
          <w:rFonts w:ascii="Arial" w:hAnsi="Arial" w:cs="Arial"/>
          <w:i/>
          <w:sz w:val="22"/>
          <w:szCs w:val="22"/>
        </w:rPr>
        <w:t>m</w:t>
      </w:r>
      <w:r w:rsidRPr="003402DA">
        <w:rPr>
          <w:rFonts w:ascii="Arial" w:hAnsi="Arial" w:cs="Arial"/>
          <w:i/>
          <w:sz w:val="22"/>
          <w:szCs w:val="22"/>
        </w:rPr>
        <w:t>easuring behavioural additionality</w:t>
      </w:r>
      <w:r w:rsidRPr="00286B6E">
        <w:rPr>
          <w:rFonts w:ascii="Arial" w:hAnsi="Arial" w:cs="Arial"/>
          <w:sz w:val="22"/>
          <w:szCs w:val="22"/>
        </w:rPr>
        <w:t xml:space="preserve">. </w:t>
      </w:r>
      <w:r w:rsidR="00DE35EA" w:rsidRPr="00286B6E">
        <w:rPr>
          <w:rFonts w:ascii="Arial" w:hAnsi="Arial" w:cs="Arial"/>
          <w:sz w:val="22"/>
          <w:szCs w:val="22"/>
        </w:rPr>
        <w:t>Paris</w:t>
      </w:r>
      <w:r w:rsidR="00DE35EA">
        <w:rPr>
          <w:rFonts w:ascii="Arial" w:hAnsi="Arial" w:cs="Arial"/>
          <w:sz w:val="22"/>
          <w:szCs w:val="22"/>
        </w:rPr>
        <w:t>: OECD.</w:t>
      </w:r>
    </w:p>
    <w:p w:rsidR="00286B6E" w:rsidRPr="00286B6E" w:rsidRDefault="00286B6E" w:rsidP="00286B6E">
      <w:pPr>
        <w:spacing w:after="300" w:line="360" w:lineRule="auto"/>
        <w:jc w:val="both"/>
        <w:rPr>
          <w:rFonts w:ascii="Arial" w:hAnsi="Arial" w:cs="Arial"/>
          <w:noProof/>
          <w:sz w:val="22"/>
          <w:szCs w:val="22"/>
        </w:rPr>
      </w:pPr>
      <w:bookmarkStart w:id="42" w:name="_ENREF_33"/>
      <w:r w:rsidRPr="00286B6E">
        <w:rPr>
          <w:rFonts w:ascii="Arial" w:hAnsi="Arial" w:cs="Arial"/>
          <w:noProof/>
          <w:sz w:val="22"/>
          <w:szCs w:val="22"/>
        </w:rPr>
        <w:t xml:space="preserve">Freel, M. S. 2005. Patterns of Innovation and skills in small firms. </w:t>
      </w:r>
      <w:r w:rsidR="00723126">
        <w:rPr>
          <w:rFonts w:ascii="Arial" w:hAnsi="Arial" w:cs="Arial"/>
          <w:i/>
          <w:noProof/>
          <w:sz w:val="22"/>
          <w:szCs w:val="22"/>
        </w:rPr>
        <w:t>Technovation.</w:t>
      </w:r>
      <w:r w:rsidRPr="00286B6E">
        <w:rPr>
          <w:rFonts w:ascii="Arial" w:hAnsi="Arial" w:cs="Arial"/>
          <w:noProof/>
          <w:sz w:val="22"/>
          <w:szCs w:val="22"/>
        </w:rPr>
        <w:t xml:space="preserve"> 25</w:t>
      </w:r>
      <w:r w:rsidR="00F00390">
        <w:rPr>
          <w:rFonts w:ascii="Arial" w:hAnsi="Arial" w:cs="Arial"/>
          <w:noProof/>
          <w:sz w:val="22"/>
          <w:szCs w:val="22"/>
        </w:rPr>
        <w:t>(2)</w:t>
      </w:r>
      <w:r w:rsidRPr="00286B6E">
        <w:rPr>
          <w:rFonts w:ascii="Arial" w:hAnsi="Arial" w:cs="Arial"/>
          <w:b/>
          <w:noProof/>
          <w:sz w:val="22"/>
          <w:szCs w:val="22"/>
        </w:rPr>
        <w:t>,</w:t>
      </w:r>
      <w:r w:rsidRPr="00286B6E">
        <w:rPr>
          <w:rFonts w:ascii="Arial" w:hAnsi="Arial" w:cs="Arial"/>
          <w:noProof/>
          <w:sz w:val="22"/>
          <w:szCs w:val="22"/>
        </w:rPr>
        <w:t xml:space="preserve"> 123-134.</w:t>
      </w:r>
      <w:bookmarkEnd w:id="42"/>
    </w:p>
    <w:p w:rsidR="00286B6E" w:rsidRPr="00286B6E" w:rsidRDefault="00286B6E" w:rsidP="00286B6E">
      <w:pPr>
        <w:spacing w:after="300" w:line="360" w:lineRule="auto"/>
        <w:jc w:val="both"/>
        <w:rPr>
          <w:rFonts w:ascii="Arial" w:hAnsi="Arial" w:cs="Arial"/>
          <w:noProof/>
          <w:sz w:val="22"/>
          <w:szCs w:val="22"/>
        </w:rPr>
      </w:pPr>
      <w:bookmarkStart w:id="43" w:name="_ENREF_35"/>
      <w:r w:rsidRPr="00286B6E">
        <w:rPr>
          <w:rFonts w:ascii="Arial" w:hAnsi="Arial" w:cs="Arial"/>
          <w:sz w:val="22"/>
          <w:szCs w:val="22"/>
        </w:rPr>
        <w:t xml:space="preserve">García-Quevedo, J. 2004. Do public subsidies complement business R&amp;D? A meta-analysis of the econometric evidence. </w:t>
      </w:r>
      <w:r w:rsidRPr="00723126">
        <w:rPr>
          <w:rFonts w:ascii="Arial" w:hAnsi="Arial" w:cs="Arial"/>
          <w:i/>
          <w:sz w:val="22"/>
          <w:szCs w:val="22"/>
        </w:rPr>
        <w:t>Kyklos</w:t>
      </w:r>
      <w:r w:rsidR="00723126">
        <w:rPr>
          <w:rFonts w:ascii="Arial" w:hAnsi="Arial" w:cs="Arial"/>
          <w:sz w:val="22"/>
          <w:szCs w:val="22"/>
        </w:rPr>
        <w:t>.</w:t>
      </w:r>
      <w:r w:rsidRPr="00286B6E">
        <w:rPr>
          <w:rFonts w:ascii="Arial" w:hAnsi="Arial" w:cs="Arial"/>
          <w:sz w:val="22"/>
          <w:szCs w:val="22"/>
        </w:rPr>
        <w:t xml:space="preserve"> 57, 87-102.</w:t>
      </w:r>
    </w:p>
    <w:p w:rsidR="00286B6E" w:rsidRPr="00286B6E" w:rsidRDefault="00286B6E" w:rsidP="00286B6E">
      <w:pPr>
        <w:spacing w:after="300" w:line="360" w:lineRule="auto"/>
        <w:jc w:val="both"/>
        <w:rPr>
          <w:rFonts w:ascii="Arial" w:hAnsi="Arial" w:cs="Arial"/>
          <w:sz w:val="22"/>
          <w:szCs w:val="22"/>
        </w:rPr>
      </w:pPr>
      <w:r w:rsidRPr="00286B6E">
        <w:rPr>
          <w:rFonts w:ascii="Arial" w:hAnsi="Arial" w:cs="Arial"/>
          <w:sz w:val="22"/>
          <w:szCs w:val="22"/>
        </w:rPr>
        <w:t>Georghiou, L. 2002. Impact and Addit</w:t>
      </w:r>
      <w:r w:rsidR="00723126">
        <w:rPr>
          <w:rFonts w:ascii="Arial" w:hAnsi="Arial" w:cs="Arial"/>
          <w:sz w:val="22"/>
          <w:szCs w:val="22"/>
        </w:rPr>
        <w:t>ionality of Innovation Policy. I</w:t>
      </w:r>
      <w:r w:rsidR="000E0E0E">
        <w:rPr>
          <w:rFonts w:ascii="Arial" w:hAnsi="Arial" w:cs="Arial"/>
          <w:sz w:val="22"/>
          <w:szCs w:val="22"/>
        </w:rPr>
        <w:t xml:space="preserve">n: Boekholt, P., </w:t>
      </w:r>
      <w:r w:rsidR="00723126">
        <w:rPr>
          <w:rFonts w:ascii="Arial" w:hAnsi="Arial" w:cs="Arial"/>
          <w:sz w:val="22"/>
          <w:szCs w:val="22"/>
        </w:rPr>
        <w:t>e</w:t>
      </w:r>
      <w:r w:rsidR="000E0E0E">
        <w:rPr>
          <w:rFonts w:ascii="Arial" w:hAnsi="Arial" w:cs="Arial"/>
          <w:sz w:val="22"/>
          <w:szCs w:val="22"/>
        </w:rPr>
        <w:t>d.</w:t>
      </w:r>
      <w:r w:rsidRPr="00286B6E">
        <w:rPr>
          <w:rFonts w:ascii="Arial" w:hAnsi="Arial" w:cs="Arial"/>
          <w:sz w:val="22"/>
          <w:szCs w:val="22"/>
        </w:rPr>
        <w:t xml:space="preserve"> </w:t>
      </w:r>
      <w:r w:rsidR="000E0E0E" w:rsidRPr="000E0E0E">
        <w:rPr>
          <w:rFonts w:ascii="Arial" w:hAnsi="Arial" w:cs="Arial"/>
          <w:i/>
          <w:sz w:val="22"/>
          <w:szCs w:val="22"/>
        </w:rPr>
        <w:t>Innovation policy and sustainable development: can innovation incentives make a difference?</w:t>
      </w:r>
      <w:r w:rsidR="00723126">
        <w:rPr>
          <w:rFonts w:ascii="Arial" w:hAnsi="Arial" w:cs="Arial"/>
          <w:sz w:val="22"/>
          <w:szCs w:val="22"/>
        </w:rPr>
        <w:t xml:space="preserve"> </w:t>
      </w:r>
      <w:r w:rsidR="00723126" w:rsidRPr="00286B6E">
        <w:rPr>
          <w:rFonts w:ascii="Arial" w:hAnsi="Arial" w:cs="Arial"/>
          <w:sz w:val="22"/>
          <w:szCs w:val="22"/>
        </w:rPr>
        <w:t>Brussels</w:t>
      </w:r>
      <w:r w:rsidR="00723126">
        <w:rPr>
          <w:rFonts w:ascii="Arial" w:hAnsi="Arial" w:cs="Arial"/>
          <w:sz w:val="22"/>
          <w:szCs w:val="22"/>
        </w:rPr>
        <w:t>: IWT Observatory.</w:t>
      </w:r>
    </w:p>
    <w:p w:rsidR="00286B6E" w:rsidRPr="00286B6E" w:rsidRDefault="00286B6E" w:rsidP="00F6682C">
      <w:pPr>
        <w:spacing w:after="300" w:line="360" w:lineRule="auto"/>
        <w:rPr>
          <w:rFonts w:ascii="Arial" w:hAnsi="Arial" w:cs="Arial"/>
          <w:sz w:val="22"/>
          <w:szCs w:val="22"/>
        </w:rPr>
      </w:pPr>
      <w:r w:rsidRPr="00286B6E">
        <w:rPr>
          <w:rFonts w:ascii="Arial" w:hAnsi="Arial" w:cs="Arial"/>
          <w:sz w:val="22"/>
          <w:szCs w:val="22"/>
        </w:rPr>
        <w:t xml:space="preserve">Georghiou, L. 2004. </w:t>
      </w:r>
      <w:r w:rsidRPr="00F6682C">
        <w:rPr>
          <w:rFonts w:ascii="Arial" w:hAnsi="Arial" w:cs="Arial"/>
          <w:sz w:val="22"/>
          <w:szCs w:val="22"/>
        </w:rPr>
        <w:t>Evaluation of behavioural additionality: Concept Paper.</w:t>
      </w:r>
      <w:r w:rsidR="000E0E0E" w:rsidRPr="00F6682C">
        <w:rPr>
          <w:rFonts w:ascii="Arial" w:hAnsi="Arial" w:cs="Arial"/>
          <w:sz w:val="22"/>
          <w:szCs w:val="22"/>
        </w:rPr>
        <w:t xml:space="preserve"> </w:t>
      </w:r>
      <w:r w:rsidR="000E0E0E" w:rsidRPr="00F6682C">
        <w:rPr>
          <w:rFonts w:ascii="Arial" w:hAnsi="Arial" w:cs="Arial"/>
          <w:i/>
          <w:sz w:val="22"/>
          <w:szCs w:val="22"/>
        </w:rPr>
        <w:t>IWT</w:t>
      </w:r>
      <w:r w:rsidR="00F6682C" w:rsidRPr="00F6682C">
        <w:rPr>
          <w:rFonts w:ascii="Arial" w:hAnsi="Arial" w:cs="Arial"/>
          <w:i/>
          <w:sz w:val="22"/>
          <w:szCs w:val="22"/>
        </w:rPr>
        <w:t>-Studies</w:t>
      </w:r>
      <w:r w:rsidR="00F6682C">
        <w:rPr>
          <w:rFonts w:ascii="Arial" w:hAnsi="Arial" w:cs="Arial"/>
          <w:sz w:val="22"/>
          <w:szCs w:val="22"/>
        </w:rPr>
        <w:t>, [Online].  48, 7-22.</w:t>
      </w:r>
      <w:r w:rsidRPr="00286B6E">
        <w:rPr>
          <w:rFonts w:ascii="Arial" w:hAnsi="Arial" w:cs="Arial"/>
          <w:sz w:val="22"/>
          <w:szCs w:val="22"/>
        </w:rPr>
        <w:t xml:space="preserve"> </w:t>
      </w:r>
      <w:r w:rsidR="00F6682C">
        <w:rPr>
          <w:rFonts w:ascii="Arial" w:hAnsi="Arial" w:cs="Arial"/>
          <w:sz w:val="22"/>
          <w:szCs w:val="22"/>
        </w:rPr>
        <w:t>[A</w:t>
      </w:r>
      <w:r w:rsidR="00F6682C" w:rsidRPr="00286B6E">
        <w:rPr>
          <w:rFonts w:ascii="Arial" w:hAnsi="Arial" w:cs="Arial"/>
          <w:sz w:val="22"/>
          <w:szCs w:val="22"/>
        </w:rPr>
        <w:t xml:space="preserve">ccessed 13 September </w:t>
      </w:r>
      <w:r w:rsidR="000F07E2">
        <w:rPr>
          <w:rFonts w:ascii="Arial" w:hAnsi="Arial" w:cs="Arial"/>
          <w:sz w:val="22"/>
          <w:szCs w:val="22"/>
        </w:rPr>
        <w:t xml:space="preserve"> </w:t>
      </w:r>
      <w:r w:rsidR="00F6682C" w:rsidRPr="00286B6E">
        <w:rPr>
          <w:rFonts w:ascii="Arial" w:hAnsi="Arial" w:cs="Arial"/>
          <w:sz w:val="22"/>
          <w:szCs w:val="22"/>
        </w:rPr>
        <w:t>2013</w:t>
      </w:r>
      <w:r w:rsidR="00F6682C">
        <w:rPr>
          <w:rFonts w:ascii="Arial" w:hAnsi="Arial" w:cs="Arial"/>
          <w:sz w:val="22"/>
          <w:szCs w:val="22"/>
        </w:rPr>
        <w:t>.</w:t>
      </w:r>
      <w:r w:rsidR="00D22FA3">
        <w:rPr>
          <w:rFonts w:ascii="Arial" w:hAnsi="Arial" w:cs="Arial"/>
          <w:sz w:val="22"/>
          <w:szCs w:val="22"/>
        </w:rPr>
        <w:t>]</w:t>
      </w:r>
      <w:r w:rsidR="00F6682C">
        <w:rPr>
          <w:rFonts w:ascii="Arial" w:hAnsi="Arial" w:cs="Arial"/>
          <w:sz w:val="22"/>
          <w:szCs w:val="22"/>
        </w:rPr>
        <w:t xml:space="preserve"> Available from: </w:t>
      </w:r>
      <w:r w:rsidR="000B51E0" w:rsidRPr="000B51E0">
        <w:rPr>
          <w:rFonts w:ascii="Arial" w:hAnsi="Arial" w:cs="Arial"/>
          <w:noProof/>
          <w:sz w:val="22"/>
          <w:szCs w:val="22"/>
        </w:rPr>
        <w:t>http://tinyurl.com/naqmr6x</w:t>
      </w:r>
    </w:p>
    <w:p w:rsidR="00286B6E" w:rsidRPr="00286B6E" w:rsidRDefault="00286B6E" w:rsidP="00286B6E">
      <w:pPr>
        <w:spacing w:after="300" w:line="360" w:lineRule="auto"/>
        <w:jc w:val="both"/>
        <w:rPr>
          <w:rFonts w:ascii="Arial" w:hAnsi="Arial" w:cs="Arial"/>
          <w:noProof/>
          <w:sz w:val="22"/>
          <w:szCs w:val="22"/>
        </w:rPr>
      </w:pPr>
      <w:bookmarkStart w:id="44" w:name="_ENREF_37"/>
      <w:bookmarkEnd w:id="43"/>
      <w:r w:rsidRPr="00286B6E">
        <w:rPr>
          <w:rFonts w:ascii="Arial" w:hAnsi="Arial" w:cs="Arial"/>
          <w:noProof/>
          <w:sz w:val="22"/>
          <w:szCs w:val="22"/>
        </w:rPr>
        <w:t xml:space="preserve">Griffith, R., Redding, S. &amp; Van Reenan, J. 2003. R&amp;D and Absorptive Capacity: Theory and Empirical Evidence. </w:t>
      </w:r>
      <w:r w:rsidRPr="00286B6E">
        <w:rPr>
          <w:rFonts w:ascii="Arial" w:hAnsi="Arial" w:cs="Arial"/>
          <w:i/>
          <w:noProof/>
          <w:sz w:val="22"/>
          <w:szCs w:val="22"/>
        </w:rPr>
        <w:t>Scandinavian Journal of Economics</w:t>
      </w:r>
      <w:r w:rsidR="00646A10">
        <w:rPr>
          <w:rFonts w:ascii="Arial" w:hAnsi="Arial" w:cs="Arial"/>
          <w:i/>
          <w:noProof/>
          <w:sz w:val="22"/>
          <w:szCs w:val="22"/>
        </w:rPr>
        <w:t>.</w:t>
      </w:r>
      <w:r w:rsidRPr="00286B6E">
        <w:rPr>
          <w:rFonts w:ascii="Arial" w:hAnsi="Arial" w:cs="Arial"/>
          <w:noProof/>
          <w:sz w:val="22"/>
          <w:szCs w:val="22"/>
        </w:rPr>
        <w:t xml:space="preserve"> 105</w:t>
      </w:r>
      <w:r w:rsidRPr="00286B6E">
        <w:rPr>
          <w:rFonts w:ascii="Arial" w:hAnsi="Arial" w:cs="Arial"/>
          <w:b/>
          <w:noProof/>
          <w:sz w:val="22"/>
          <w:szCs w:val="22"/>
        </w:rPr>
        <w:t>,</w:t>
      </w:r>
      <w:r w:rsidRPr="00286B6E">
        <w:rPr>
          <w:rFonts w:ascii="Arial" w:hAnsi="Arial" w:cs="Arial"/>
          <w:noProof/>
          <w:sz w:val="22"/>
          <w:szCs w:val="22"/>
        </w:rPr>
        <w:t xml:space="preserve"> 99-118.</w:t>
      </w:r>
      <w:bookmarkEnd w:id="44"/>
    </w:p>
    <w:p w:rsidR="00286B6E" w:rsidRPr="00286B6E" w:rsidRDefault="00286B6E" w:rsidP="00286B6E">
      <w:pPr>
        <w:spacing w:after="300" w:line="360" w:lineRule="auto"/>
        <w:jc w:val="both"/>
        <w:rPr>
          <w:rFonts w:ascii="Arial" w:hAnsi="Arial" w:cs="Arial"/>
          <w:noProof/>
          <w:sz w:val="22"/>
          <w:szCs w:val="22"/>
        </w:rPr>
      </w:pPr>
      <w:bookmarkStart w:id="45" w:name="_ENREF_38"/>
      <w:r w:rsidRPr="00286B6E">
        <w:rPr>
          <w:rFonts w:ascii="Arial" w:hAnsi="Arial" w:cs="Arial"/>
          <w:noProof/>
          <w:sz w:val="22"/>
          <w:szCs w:val="22"/>
        </w:rPr>
        <w:t xml:space="preserve">Griliches, Z. 1995. </w:t>
      </w:r>
      <w:r w:rsidRPr="00286B6E">
        <w:rPr>
          <w:rFonts w:ascii="Arial" w:hAnsi="Arial" w:cs="Arial"/>
          <w:i/>
          <w:noProof/>
          <w:sz w:val="22"/>
          <w:szCs w:val="22"/>
        </w:rPr>
        <w:t>R&amp;D and Productivity: Econometric Results and Measurement Issues</w:t>
      </w:r>
      <w:r w:rsidR="00646A10">
        <w:rPr>
          <w:rFonts w:ascii="Arial" w:hAnsi="Arial" w:cs="Arial"/>
          <w:i/>
          <w:noProof/>
          <w:sz w:val="22"/>
          <w:szCs w:val="22"/>
        </w:rPr>
        <w:t>.</w:t>
      </w:r>
      <w:r w:rsidRPr="00286B6E">
        <w:rPr>
          <w:rFonts w:ascii="Arial" w:hAnsi="Arial" w:cs="Arial"/>
          <w:i/>
          <w:noProof/>
          <w:sz w:val="22"/>
          <w:szCs w:val="22"/>
        </w:rPr>
        <w:t xml:space="preserve"> </w:t>
      </w:r>
      <w:r w:rsidRPr="00286B6E">
        <w:rPr>
          <w:rFonts w:ascii="Arial" w:hAnsi="Arial" w:cs="Arial"/>
          <w:noProof/>
          <w:sz w:val="22"/>
          <w:szCs w:val="22"/>
        </w:rPr>
        <w:t>Oxford</w:t>
      </w:r>
      <w:r w:rsidR="00646A10">
        <w:rPr>
          <w:rFonts w:ascii="Arial" w:hAnsi="Arial" w:cs="Arial"/>
          <w:noProof/>
          <w:sz w:val="22"/>
          <w:szCs w:val="22"/>
        </w:rPr>
        <w:t>:</w:t>
      </w:r>
      <w:r w:rsidRPr="00286B6E">
        <w:rPr>
          <w:rFonts w:ascii="Arial" w:hAnsi="Arial" w:cs="Arial"/>
          <w:noProof/>
          <w:sz w:val="22"/>
          <w:szCs w:val="22"/>
        </w:rPr>
        <w:t xml:space="preserve"> Blackwell.</w:t>
      </w:r>
      <w:bookmarkEnd w:id="45"/>
    </w:p>
    <w:p w:rsidR="00D22FA3" w:rsidRDefault="00D22FA3">
      <w:pPr>
        <w:rPr>
          <w:rFonts w:ascii="Arial" w:hAnsi="Arial" w:cs="Arial"/>
          <w:noProof/>
          <w:sz w:val="22"/>
          <w:szCs w:val="22"/>
        </w:rPr>
      </w:pPr>
      <w:bookmarkStart w:id="46" w:name="_ENREF_39"/>
      <w:r>
        <w:rPr>
          <w:rFonts w:ascii="Arial" w:hAnsi="Arial" w:cs="Arial"/>
          <w:noProof/>
          <w:sz w:val="22"/>
          <w:szCs w:val="22"/>
        </w:rPr>
        <w:br w:type="page"/>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lastRenderedPageBreak/>
        <w:t xml:space="preserve">Grossman, G. &amp; Helpman, E. 1991. Quality ladders and product cycles. </w:t>
      </w:r>
      <w:r w:rsidRPr="00286B6E">
        <w:rPr>
          <w:rFonts w:ascii="Arial" w:hAnsi="Arial" w:cs="Arial"/>
          <w:i/>
          <w:noProof/>
          <w:sz w:val="22"/>
          <w:szCs w:val="22"/>
        </w:rPr>
        <w:t>The Quarterly Journal of Economics &amp; Management Strategy</w:t>
      </w:r>
      <w:r w:rsidR="00646A10">
        <w:rPr>
          <w:rFonts w:ascii="Arial" w:hAnsi="Arial" w:cs="Arial"/>
          <w:i/>
          <w:noProof/>
          <w:sz w:val="22"/>
          <w:szCs w:val="22"/>
        </w:rPr>
        <w:t>.</w:t>
      </w:r>
      <w:r w:rsidRPr="00286B6E">
        <w:rPr>
          <w:rFonts w:ascii="Arial" w:hAnsi="Arial" w:cs="Arial"/>
          <w:noProof/>
          <w:sz w:val="22"/>
          <w:szCs w:val="22"/>
        </w:rPr>
        <w:t xml:space="preserve"> 106</w:t>
      </w:r>
      <w:r w:rsidRPr="00286B6E">
        <w:rPr>
          <w:rFonts w:ascii="Arial" w:hAnsi="Arial" w:cs="Arial"/>
          <w:b/>
          <w:noProof/>
          <w:sz w:val="22"/>
          <w:szCs w:val="22"/>
        </w:rPr>
        <w:t>,</w:t>
      </w:r>
      <w:r w:rsidRPr="00286B6E">
        <w:rPr>
          <w:rFonts w:ascii="Arial" w:hAnsi="Arial" w:cs="Arial"/>
          <w:noProof/>
          <w:sz w:val="22"/>
          <w:szCs w:val="22"/>
        </w:rPr>
        <w:t xml:space="preserve"> 557</w:t>
      </w:r>
      <w:r w:rsidR="00D22FA3">
        <w:rPr>
          <w:rFonts w:ascii="Arial" w:hAnsi="Arial" w:cs="Arial"/>
          <w:noProof/>
          <w:sz w:val="22"/>
          <w:szCs w:val="22"/>
        </w:rPr>
        <w:t>-</w:t>
      </w:r>
      <w:r w:rsidRPr="00286B6E">
        <w:rPr>
          <w:rFonts w:ascii="Arial" w:hAnsi="Arial" w:cs="Arial"/>
          <w:noProof/>
          <w:sz w:val="22"/>
          <w:szCs w:val="22"/>
        </w:rPr>
        <w:t>586.</w:t>
      </w:r>
      <w:bookmarkEnd w:id="46"/>
    </w:p>
    <w:p w:rsidR="00286B6E" w:rsidRPr="00286B6E" w:rsidRDefault="00286B6E" w:rsidP="00286B6E">
      <w:pPr>
        <w:spacing w:after="300" w:line="360" w:lineRule="auto"/>
        <w:jc w:val="both"/>
        <w:rPr>
          <w:rFonts w:ascii="Arial" w:hAnsi="Arial" w:cs="Arial"/>
          <w:noProof/>
          <w:sz w:val="22"/>
          <w:szCs w:val="22"/>
        </w:rPr>
      </w:pPr>
      <w:bookmarkStart w:id="47" w:name="_ENREF_40"/>
      <w:r w:rsidRPr="00286B6E">
        <w:rPr>
          <w:rFonts w:ascii="Arial" w:hAnsi="Arial" w:cs="Arial"/>
          <w:noProof/>
          <w:sz w:val="22"/>
          <w:szCs w:val="22"/>
        </w:rPr>
        <w:t xml:space="preserve">Grupp, H. &amp; Stadler, M. 2005. Technological progress and market growth: An empirical study based on the quality-ladder approach. </w:t>
      </w:r>
      <w:r w:rsidRPr="00286B6E">
        <w:rPr>
          <w:rFonts w:ascii="Arial" w:hAnsi="Arial" w:cs="Arial"/>
          <w:i/>
          <w:noProof/>
          <w:sz w:val="22"/>
          <w:szCs w:val="22"/>
        </w:rPr>
        <w:t>Technological Forecasting And Social Change</w:t>
      </w:r>
      <w:r w:rsidR="00646A10">
        <w:rPr>
          <w:rFonts w:ascii="Arial" w:hAnsi="Arial" w:cs="Arial"/>
          <w:i/>
          <w:noProof/>
          <w:sz w:val="22"/>
          <w:szCs w:val="22"/>
        </w:rPr>
        <w:t>.</w:t>
      </w:r>
      <w:r w:rsidRPr="00286B6E">
        <w:rPr>
          <w:rFonts w:ascii="Arial" w:hAnsi="Arial" w:cs="Arial"/>
          <w:noProof/>
          <w:sz w:val="22"/>
          <w:szCs w:val="22"/>
        </w:rPr>
        <w:t xml:space="preserve"> 72</w:t>
      </w:r>
      <w:r w:rsidRPr="00286B6E">
        <w:rPr>
          <w:rFonts w:ascii="Arial" w:hAnsi="Arial" w:cs="Arial"/>
          <w:b/>
          <w:noProof/>
          <w:sz w:val="22"/>
          <w:szCs w:val="22"/>
        </w:rPr>
        <w:t>,</w:t>
      </w:r>
      <w:r w:rsidRPr="00286B6E">
        <w:rPr>
          <w:rFonts w:ascii="Arial" w:hAnsi="Arial" w:cs="Arial"/>
          <w:noProof/>
          <w:sz w:val="22"/>
          <w:szCs w:val="22"/>
        </w:rPr>
        <w:t xml:space="preserve"> 413-428.</w:t>
      </w:r>
      <w:bookmarkEnd w:id="47"/>
    </w:p>
    <w:p w:rsidR="00286B6E" w:rsidRPr="00286B6E" w:rsidRDefault="00286B6E" w:rsidP="00286B6E">
      <w:pPr>
        <w:autoSpaceDE w:val="0"/>
        <w:autoSpaceDN w:val="0"/>
        <w:adjustRightInd w:val="0"/>
        <w:spacing w:after="300" w:line="360" w:lineRule="auto"/>
        <w:jc w:val="both"/>
        <w:rPr>
          <w:rFonts w:ascii="Arial" w:hAnsi="Arial" w:cs="Arial"/>
          <w:sz w:val="22"/>
          <w:szCs w:val="22"/>
        </w:rPr>
      </w:pPr>
      <w:bookmarkStart w:id="48" w:name="_ENREF_42"/>
      <w:r w:rsidRPr="00286B6E">
        <w:rPr>
          <w:rFonts w:ascii="Arial" w:hAnsi="Arial" w:cs="Arial"/>
          <w:sz w:val="22"/>
          <w:szCs w:val="22"/>
        </w:rPr>
        <w:t xml:space="preserve">Hedberg, B. 1981. </w:t>
      </w:r>
      <w:r w:rsidR="000F07E2">
        <w:rPr>
          <w:rFonts w:ascii="Arial" w:hAnsi="Arial" w:cs="Arial"/>
          <w:sz w:val="22"/>
          <w:szCs w:val="22"/>
        </w:rPr>
        <w:t>H</w:t>
      </w:r>
      <w:r w:rsidR="000F07E2" w:rsidRPr="00286B6E">
        <w:rPr>
          <w:rFonts w:ascii="Arial" w:hAnsi="Arial" w:cs="Arial"/>
          <w:sz w:val="22"/>
          <w:szCs w:val="22"/>
        </w:rPr>
        <w:t>ow organizations learn and unlearn</w:t>
      </w:r>
      <w:r w:rsidRPr="00286B6E">
        <w:rPr>
          <w:rFonts w:ascii="Arial" w:hAnsi="Arial" w:cs="Arial"/>
          <w:sz w:val="22"/>
          <w:szCs w:val="22"/>
        </w:rPr>
        <w:t>. In</w:t>
      </w:r>
      <w:r w:rsidR="000F07E2">
        <w:rPr>
          <w:rFonts w:ascii="Arial" w:hAnsi="Arial" w:cs="Arial"/>
          <w:sz w:val="22"/>
          <w:szCs w:val="22"/>
        </w:rPr>
        <w:t>: Nystrom, P. &amp; Starbuck, W.H. eds.</w:t>
      </w:r>
      <w:r w:rsidRPr="00286B6E">
        <w:rPr>
          <w:rFonts w:ascii="Arial" w:hAnsi="Arial" w:cs="Arial"/>
          <w:sz w:val="22"/>
          <w:szCs w:val="22"/>
        </w:rPr>
        <w:t xml:space="preserve"> </w:t>
      </w:r>
      <w:r w:rsidRPr="000F07E2">
        <w:rPr>
          <w:rFonts w:ascii="Arial" w:hAnsi="Arial" w:cs="Arial"/>
          <w:i/>
          <w:iCs/>
          <w:sz w:val="22"/>
          <w:szCs w:val="22"/>
        </w:rPr>
        <w:t>Handbook of Organizational Design</w:t>
      </w:r>
      <w:r w:rsidRPr="00286B6E">
        <w:rPr>
          <w:rFonts w:ascii="Arial" w:hAnsi="Arial" w:cs="Arial"/>
          <w:iCs/>
          <w:sz w:val="22"/>
          <w:szCs w:val="22"/>
        </w:rPr>
        <w:t xml:space="preserve">. </w:t>
      </w:r>
      <w:r w:rsidR="000F07E2" w:rsidRPr="00286B6E">
        <w:rPr>
          <w:rFonts w:ascii="Arial" w:hAnsi="Arial" w:cs="Arial"/>
          <w:sz w:val="22"/>
          <w:szCs w:val="22"/>
        </w:rPr>
        <w:t>London</w:t>
      </w:r>
      <w:r w:rsidR="000F07E2">
        <w:rPr>
          <w:rFonts w:ascii="Arial" w:hAnsi="Arial" w:cs="Arial"/>
          <w:sz w:val="22"/>
          <w:szCs w:val="22"/>
        </w:rPr>
        <w:t>:</w:t>
      </w:r>
      <w:r w:rsidR="000F07E2" w:rsidRPr="00286B6E">
        <w:rPr>
          <w:rFonts w:ascii="Arial" w:hAnsi="Arial" w:cs="Arial"/>
          <w:sz w:val="22"/>
          <w:szCs w:val="22"/>
        </w:rPr>
        <w:t xml:space="preserve"> </w:t>
      </w:r>
      <w:r w:rsidR="000F07E2">
        <w:rPr>
          <w:rFonts w:ascii="Arial" w:hAnsi="Arial" w:cs="Arial"/>
          <w:sz w:val="22"/>
          <w:szCs w:val="22"/>
        </w:rPr>
        <w:t>Cambridge University Press</w:t>
      </w:r>
      <w:r w:rsidRPr="00286B6E">
        <w:rPr>
          <w:rFonts w:ascii="Arial" w:hAnsi="Arial" w:cs="Arial"/>
          <w:sz w:val="22"/>
          <w:szCs w:val="22"/>
        </w:rPr>
        <w:t>.</w:t>
      </w:r>
      <w:r w:rsidR="000F07E2">
        <w:rPr>
          <w:rFonts w:ascii="Arial" w:hAnsi="Arial" w:cs="Arial"/>
          <w:sz w:val="22"/>
          <w:szCs w:val="22"/>
        </w:rPr>
        <w:t xml:space="preserve"> </w:t>
      </w:r>
      <w:r w:rsidR="000F07E2" w:rsidRPr="00286B6E">
        <w:rPr>
          <w:rFonts w:ascii="Arial" w:hAnsi="Arial" w:cs="Arial"/>
          <w:iCs/>
          <w:sz w:val="22"/>
          <w:szCs w:val="22"/>
        </w:rPr>
        <w:t>Vol.</w:t>
      </w:r>
      <w:r w:rsidR="000F07E2">
        <w:rPr>
          <w:rFonts w:ascii="Arial" w:hAnsi="Arial" w:cs="Arial"/>
          <w:iCs/>
          <w:sz w:val="22"/>
          <w:szCs w:val="22"/>
        </w:rPr>
        <w:t xml:space="preserve"> </w:t>
      </w:r>
      <w:r w:rsidR="000F07E2">
        <w:rPr>
          <w:rFonts w:ascii="Arial" w:hAnsi="Arial" w:cs="Arial"/>
          <w:sz w:val="22"/>
          <w:szCs w:val="22"/>
        </w:rPr>
        <w:t>1.</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Henard, D. H. &amp; Dacin, P. A. 2010. </w:t>
      </w:r>
      <w:r w:rsidR="00FD0755">
        <w:rPr>
          <w:rFonts w:ascii="Arial" w:hAnsi="Arial" w:cs="Arial"/>
          <w:noProof/>
          <w:sz w:val="22"/>
          <w:szCs w:val="22"/>
        </w:rPr>
        <w:t>R</w:t>
      </w:r>
      <w:r w:rsidR="00FD0755" w:rsidRPr="00286B6E">
        <w:rPr>
          <w:rFonts w:ascii="Arial" w:hAnsi="Arial" w:cs="Arial"/>
          <w:noProof/>
          <w:sz w:val="22"/>
          <w:szCs w:val="22"/>
        </w:rPr>
        <w:t>eputation for product innovation: its impact on consumers*</w:t>
      </w:r>
      <w:r w:rsidRPr="00286B6E">
        <w:rPr>
          <w:rFonts w:ascii="Arial" w:hAnsi="Arial" w:cs="Arial"/>
          <w:noProof/>
          <w:sz w:val="22"/>
          <w:szCs w:val="22"/>
        </w:rPr>
        <w:t xml:space="preserve">. </w:t>
      </w:r>
      <w:r w:rsidRPr="00286B6E">
        <w:rPr>
          <w:rFonts w:ascii="Arial" w:hAnsi="Arial" w:cs="Arial"/>
          <w:i/>
          <w:noProof/>
          <w:sz w:val="22"/>
          <w:szCs w:val="22"/>
        </w:rPr>
        <w:t>Journal of Product Innovation Management</w:t>
      </w:r>
      <w:r w:rsidR="00646A10">
        <w:rPr>
          <w:rFonts w:ascii="Arial" w:hAnsi="Arial" w:cs="Arial"/>
          <w:i/>
          <w:noProof/>
          <w:sz w:val="22"/>
          <w:szCs w:val="22"/>
        </w:rPr>
        <w:t>.</w:t>
      </w:r>
      <w:r w:rsidRPr="00286B6E">
        <w:rPr>
          <w:rFonts w:ascii="Arial" w:hAnsi="Arial" w:cs="Arial"/>
          <w:noProof/>
          <w:sz w:val="22"/>
          <w:szCs w:val="22"/>
        </w:rPr>
        <w:t xml:space="preserve"> 27</w:t>
      </w:r>
      <w:r w:rsidRPr="00286B6E">
        <w:rPr>
          <w:rFonts w:ascii="Arial" w:hAnsi="Arial" w:cs="Arial"/>
          <w:b/>
          <w:noProof/>
          <w:sz w:val="22"/>
          <w:szCs w:val="22"/>
        </w:rPr>
        <w:t>,</w:t>
      </w:r>
      <w:r w:rsidRPr="00286B6E">
        <w:rPr>
          <w:rFonts w:ascii="Arial" w:hAnsi="Arial" w:cs="Arial"/>
          <w:noProof/>
          <w:sz w:val="22"/>
          <w:szCs w:val="22"/>
        </w:rPr>
        <w:t xml:space="preserve"> 321-335.</w:t>
      </w:r>
      <w:bookmarkEnd w:id="48"/>
    </w:p>
    <w:p w:rsidR="00286B6E" w:rsidRPr="00286B6E" w:rsidRDefault="00286B6E" w:rsidP="00286B6E">
      <w:pPr>
        <w:spacing w:after="300" w:line="360" w:lineRule="auto"/>
        <w:jc w:val="both"/>
        <w:rPr>
          <w:rFonts w:ascii="Arial" w:hAnsi="Arial" w:cs="Arial"/>
          <w:noProof/>
          <w:sz w:val="22"/>
          <w:szCs w:val="22"/>
        </w:rPr>
      </w:pPr>
      <w:bookmarkStart w:id="49" w:name="_ENREF_44"/>
      <w:r w:rsidRPr="00286B6E">
        <w:rPr>
          <w:rFonts w:ascii="Arial" w:hAnsi="Arial" w:cs="Arial"/>
          <w:noProof/>
          <w:sz w:val="22"/>
          <w:szCs w:val="22"/>
        </w:rPr>
        <w:t xml:space="preserve">Hewitt-Dundas, N. 2006. Resource and capability constraints to innovation in small and large plants. </w:t>
      </w:r>
      <w:r w:rsidRPr="00286B6E">
        <w:rPr>
          <w:rFonts w:ascii="Arial" w:hAnsi="Arial" w:cs="Arial"/>
          <w:i/>
          <w:noProof/>
          <w:sz w:val="22"/>
          <w:szCs w:val="22"/>
        </w:rPr>
        <w:t>Small Business Economics</w:t>
      </w:r>
      <w:r w:rsidR="00646A10">
        <w:rPr>
          <w:rFonts w:ascii="Arial" w:hAnsi="Arial" w:cs="Arial"/>
          <w:i/>
          <w:noProof/>
          <w:sz w:val="22"/>
          <w:szCs w:val="22"/>
        </w:rPr>
        <w:t>.</w:t>
      </w:r>
      <w:r w:rsidRPr="00286B6E">
        <w:rPr>
          <w:rFonts w:ascii="Arial" w:hAnsi="Arial" w:cs="Arial"/>
          <w:noProof/>
          <w:sz w:val="22"/>
          <w:szCs w:val="22"/>
        </w:rPr>
        <w:t xml:space="preserve"> 26</w:t>
      </w:r>
      <w:r w:rsidRPr="00286B6E">
        <w:rPr>
          <w:rFonts w:ascii="Arial" w:hAnsi="Arial" w:cs="Arial"/>
          <w:b/>
          <w:noProof/>
          <w:sz w:val="22"/>
          <w:szCs w:val="22"/>
        </w:rPr>
        <w:t>,</w:t>
      </w:r>
      <w:r w:rsidRPr="00286B6E">
        <w:rPr>
          <w:rFonts w:ascii="Arial" w:hAnsi="Arial" w:cs="Arial"/>
          <w:noProof/>
          <w:sz w:val="22"/>
          <w:szCs w:val="22"/>
        </w:rPr>
        <w:t xml:space="preserve"> 257-277.</w:t>
      </w:r>
      <w:bookmarkEnd w:id="49"/>
    </w:p>
    <w:p w:rsidR="00286B6E" w:rsidRPr="00286B6E" w:rsidRDefault="00286B6E" w:rsidP="00286B6E">
      <w:pPr>
        <w:spacing w:after="300" w:line="360" w:lineRule="auto"/>
        <w:jc w:val="both"/>
        <w:rPr>
          <w:rFonts w:ascii="Arial" w:hAnsi="Arial" w:cs="Arial"/>
          <w:noProof/>
          <w:sz w:val="22"/>
          <w:szCs w:val="22"/>
        </w:rPr>
      </w:pPr>
      <w:bookmarkStart w:id="50" w:name="_ENREF_45"/>
      <w:r w:rsidRPr="00286B6E">
        <w:rPr>
          <w:rFonts w:ascii="Arial" w:hAnsi="Arial" w:cs="Arial"/>
          <w:noProof/>
          <w:sz w:val="22"/>
          <w:szCs w:val="22"/>
        </w:rPr>
        <w:t xml:space="preserve">Hewitt-Dundas, N., Andreosso-O'Callaghan, B. &amp; Lenihan, H. 2005. Innovation policy in Ireland and Northern Ireland, 1991 to 2001 - The Changing face of enterprise-level financial incentives for R&amp;D. </w:t>
      </w:r>
      <w:r w:rsidRPr="00286B6E">
        <w:rPr>
          <w:rFonts w:ascii="Arial" w:hAnsi="Arial" w:cs="Arial"/>
          <w:i/>
          <w:noProof/>
          <w:sz w:val="22"/>
          <w:szCs w:val="22"/>
        </w:rPr>
        <w:t>45th Congress of the European Regional Science Association.</w:t>
      </w:r>
      <w:r w:rsidRPr="00286B6E">
        <w:rPr>
          <w:rFonts w:ascii="Arial" w:hAnsi="Arial" w:cs="Arial"/>
          <w:noProof/>
          <w:sz w:val="22"/>
          <w:szCs w:val="22"/>
        </w:rPr>
        <w:t xml:space="preserve"> Vrije Universiteit, Amsterdam, 23rd-27th August</w:t>
      </w:r>
      <w:bookmarkEnd w:id="50"/>
      <w:r w:rsidR="00646A10">
        <w:rPr>
          <w:rFonts w:ascii="Arial" w:hAnsi="Arial" w:cs="Arial"/>
          <w:noProof/>
          <w:sz w:val="22"/>
          <w:szCs w:val="22"/>
        </w:rPr>
        <w:t>.</w:t>
      </w:r>
    </w:p>
    <w:p w:rsidR="00286B6E" w:rsidRPr="00286B6E" w:rsidRDefault="00286B6E" w:rsidP="00286B6E">
      <w:pPr>
        <w:spacing w:after="300" w:line="360" w:lineRule="auto"/>
        <w:jc w:val="both"/>
        <w:rPr>
          <w:rFonts w:ascii="Arial" w:hAnsi="Arial" w:cs="Arial"/>
          <w:noProof/>
          <w:sz w:val="22"/>
          <w:szCs w:val="22"/>
        </w:rPr>
      </w:pPr>
      <w:bookmarkStart w:id="51" w:name="_ENREF_46"/>
      <w:r w:rsidRPr="00286B6E">
        <w:rPr>
          <w:rFonts w:ascii="Arial" w:hAnsi="Arial" w:cs="Arial"/>
          <w:noProof/>
          <w:sz w:val="22"/>
          <w:szCs w:val="22"/>
        </w:rPr>
        <w:t xml:space="preserve">Hewitt-Dundas, N. &amp; Roper, S. 2008. Ireland’s </w:t>
      </w:r>
      <w:r w:rsidR="00FD0755" w:rsidRPr="00286B6E">
        <w:rPr>
          <w:rFonts w:ascii="Arial" w:hAnsi="Arial" w:cs="Arial"/>
          <w:noProof/>
          <w:sz w:val="22"/>
          <w:szCs w:val="22"/>
        </w:rPr>
        <w:t>innovation performance: 1991-2005</w:t>
      </w:r>
      <w:r w:rsidRPr="00286B6E">
        <w:rPr>
          <w:rFonts w:ascii="Arial" w:hAnsi="Arial" w:cs="Arial"/>
          <w:noProof/>
          <w:sz w:val="22"/>
          <w:szCs w:val="22"/>
        </w:rPr>
        <w:t xml:space="preserve">. </w:t>
      </w:r>
      <w:r w:rsidRPr="00286B6E">
        <w:rPr>
          <w:rFonts w:ascii="Arial" w:hAnsi="Arial" w:cs="Arial"/>
          <w:i/>
          <w:noProof/>
          <w:sz w:val="22"/>
          <w:szCs w:val="22"/>
        </w:rPr>
        <w:t>Quarterly Economic Commentary</w:t>
      </w:r>
      <w:r w:rsidR="00646A10">
        <w:rPr>
          <w:rFonts w:ascii="Arial" w:hAnsi="Arial" w:cs="Arial"/>
          <w:i/>
          <w:noProof/>
          <w:sz w:val="22"/>
          <w:szCs w:val="22"/>
        </w:rPr>
        <w:t xml:space="preserve">. </w:t>
      </w:r>
      <w:r w:rsidR="00646A10" w:rsidRPr="00646A10">
        <w:rPr>
          <w:rFonts w:ascii="Arial" w:hAnsi="Arial" w:cs="Arial"/>
          <w:noProof/>
          <w:sz w:val="22"/>
          <w:szCs w:val="22"/>
        </w:rPr>
        <w:t>Dubli: ESRI</w:t>
      </w:r>
      <w:r w:rsidRPr="00286B6E">
        <w:rPr>
          <w:rFonts w:ascii="Arial" w:hAnsi="Arial" w:cs="Arial"/>
          <w:i/>
          <w:noProof/>
          <w:sz w:val="22"/>
          <w:szCs w:val="22"/>
        </w:rPr>
        <w:t>.</w:t>
      </w:r>
      <w:r w:rsidRPr="00286B6E">
        <w:rPr>
          <w:rFonts w:ascii="Arial" w:hAnsi="Arial" w:cs="Arial"/>
          <w:noProof/>
          <w:sz w:val="22"/>
          <w:szCs w:val="22"/>
        </w:rPr>
        <w:t xml:space="preserve"> 46-68</w:t>
      </w:r>
      <w:r w:rsidR="00FD0755">
        <w:rPr>
          <w:rFonts w:ascii="Arial" w:hAnsi="Arial" w:cs="Arial"/>
          <w:noProof/>
          <w:sz w:val="22"/>
          <w:szCs w:val="22"/>
        </w:rPr>
        <w:t>.</w:t>
      </w:r>
      <w:r w:rsidRPr="00286B6E">
        <w:rPr>
          <w:rFonts w:ascii="Arial" w:hAnsi="Arial" w:cs="Arial"/>
          <w:noProof/>
          <w:sz w:val="22"/>
          <w:szCs w:val="22"/>
        </w:rPr>
        <w:t xml:space="preserve"> </w:t>
      </w:r>
      <w:bookmarkEnd w:id="51"/>
    </w:p>
    <w:p w:rsidR="00286B6E" w:rsidRPr="00286B6E" w:rsidRDefault="00286B6E" w:rsidP="00286B6E">
      <w:pPr>
        <w:spacing w:after="300" w:line="360" w:lineRule="auto"/>
        <w:jc w:val="both"/>
        <w:rPr>
          <w:rFonts w:ascii="Arial" w:hAnsi="Arial" w:cs="Arial"/>
          <w:noProof/>
          <w:sz w:val="22"/>
          <w:szCs w:val="22"/>
        </w:rPr>
      </w:pPr>
      <w:bookmarkStart w:id="52" w:name="_ENREF_47"/>
      <w:r w:rsidRPr="00286B6E">
        <w:rPr>
          <w:rFonts w:ascii="Arial" w:hAnsi="Arial" w:cs="Arial"/>
          <w:noProof/>
          <w:sz w:val="22"/>
          <w:szCs w:val="22"/>
        </w:rPr>
        <w:t xml:space="preserve">Hewitt-Dundas, N. &amp; Roper, S. 2009. </w:t>
      </w:r>
      <w:r w:rsidR="00FD0755">
        <w:rPr>
          <w:rFonts w:ascii="Arial" w:hAnsi="Arial" w:cs="Arial"/>
          <w:noProof/>
          <w:sz w:val="22"/>
          <w:szCs w:val="22"/>
        </w:rPr>
        <w:t>O</w:t>
      </w:r>
      <w:r w:rsidR="00FD0755" w:rsidRPr="00286B6E">
        <w:rPr>
          <w:rFonts w:ascii="Arial" w:hAnsi="Arial" w:cs="Arial"/>
          <w:noProof/>
          <w:sz w:val="22"/>
          <w:szCs w:val="22"/>
        </w:rPr>
        <w:t>utput additionality of public suppor</w:t>
      </w:r>
      <w:r w:rsidR="00FD0755">
        <w:rPr>
          <w:rFonts w:ascii="Arial" w:hAnsi="Arial" w:cs="Arial"/>
          <w:noProof/>
          <w:sz w:val="22"/>
          <w:szCs w:val="22"/>
        </w:rPr>
        <w:t>t for innovation: evidence for I</w:t>
      </w:r>
      <w:r w:rsidR="00FD0755" w:rsidRPr="00286B6E">
        <w:rPr>
          <w:rFonts w:ascii="Arial" w:hAnsi="Arial" w:cs="Arial"/>
          <w:noProof/>
          <w:sz w:val="22"/>
          <w:szCs w:val="22"/>
        </w:rPr>
        <w:t>rish manufacturing plants</w:t>
      </w:r>
      <w:r w:rsidRPr="00286B6E">
        <w:rPr>
          <w:rFonts w:ascii="Arial" w:hAnsi="Arial" w:cs="Arial"/>
          <w:noProof/>
          <w:sz w:val="22"/>
          <w:szCs w:val="22"/>
        </w:rPr>
        <w:t xml:space="preserve">. </w:t>
      </w:r>
      <w:r w:rsidRPr="00286B6E">
        <w:rPr>
          <w:rFonts w:ascii="Arial" w:hAnsi="Arial" w:cs="Arial"/>
          <w:i/>
          <w:noProof/>
          <w:sz w:val="22"/>
          <w:szCs w:val="22"/>
        </w:rPr>
        <w:t>European Planning Studies</w:t>
      </w:r>
      <w:r w:rsidR="00646A10">
        <w:rPr>
          <w:rFonts w:ascii="Arial" w:hAnsi="Arial" w:cs="Arial"/>
          <w:i/>
          <w:noProof/>
          <w:sz w:val="22"/>
          <w:szCs w:val="22"/>
        </w:rPr>
        <w:t>.</w:t>
      </w:r>
      <w:r w:rsidRPr="00286B6E">
        <w:rPr>
          <w:rFonts w:ascii="Arial" w:hAnsi="Arial" w:cs="Arial"/>
          <w:noProof/>
          <w:sz w:val="22"/>
          <w:szCs w:val="22"/>
        </w:rPr>
        <w:t xml:space="preserve"> 18</w:t>
      </w:r>
      <w:r w:rsidRPr="00286B6E">
        <w:rPr>
          <w:rFonts w:ascii="Arial" w:hAnsi="Arial" w:cs="Arial"/>
          <w:b/>
          <w:noProof/>
          <w:sz w:val="22"/>
          <w:szCs w:val="22"/>
        </w:rPr>
        <w:t>,</w:t>
      </w:r>
      <w:r w:rsidRPr="00286B6E">
        <w:rPr>
          <w:rFonts w:ascii="Arial" w:hAnsi="Arial" w:cs="Arial"/>
          <w:noProof/>
          <w:sz w:val="22"/>
          <w:szCs w:val="22"/>
        </w:rPr>
        <w:t xml:space="preserve"> 107-122.</w:t>
      </w:r>
      <w:bookmarkEnd w:id="52"/>
    </w:p>
    <w:p w:rsidR="00286B6E" w:rsidRPr="00286B6E" w:rsidRDefault="00286B6E" w:rsidP="00286B6E">
      <w:pPr>
        <w:spacing w:after="300" w:line="360" w:lineRule="auto"/>
        <w:jc w:val="both"/>
        <w:rPr>
          <w:rFonts w:ascii="Arial" w:hAnsi="Arial" w:cs="Arial"/>
          <w:noProof/>
          <w:sz w:val="22"/>
          <w:szCs w:val="22"/>
        </w:rPr>
      </w:pPr>
      <w:bookmarkStart w:id="53" w:name="_ENREF_48"/>
      <w:r w:rsidRPr="00286B6E">
        <w:rPr>
          <w:rFonts w:ascii="Arial" w:hAnsi="Arial" w:cs="Arial"/>
          <w:noProof/>
          <w:sz w:val="22"/>
          <w:szCs w:val="22"/>
        </w:rPr>
        <w:t xml:space="preserve">Hewitt-Dundas, N. &amp; Roper, S. 2011. Creating advantage in peripheral regions: the role of publicly funded R&amp;D centres. </w:t>
      </w:r>
      <w:r w:rsidRPr="00286B6E">
        <w:rPr>
          <w:rFonts w:ascii="Arial" w:hAnsi="Arial" w:cs="Arial"/>
          <w:i/>
          <w:noProof/>
          <w:sz w:val="22"/>
          <w:szCs w:val="22"/>
        </w:rPr>
        <w:t>Research Policy</w:t>
      </w:r>
      <w:r w:rsidR="00646A10">
        <w:rPr>
          <w:rFonts w:ascii="Arial" w:hAnsi="Arial" w:cs="Arial"/>
          <w:i/>
          <w:noProof/>
          <w:sz w:val="22"/>
          <w:szCs w:val="22"/>
        </w:rPr>
        <w:t xml:space="preserve">. </w:t>
      </w:r>
      <w:r w:rsidRPr="00286B6E">
        <w:rPr>
          <w:rFonts w:ascii="Arial" w:hAnsi="Arial" w:cs="Arial"/>
          <w:noProof/>
          <w:sz w:val="22"/>
          <w:szCs w:val="22"/>
        </w:rPr>
        <w:t>40</w:t>
      </w:r>
      <w:r w:rsidRPr="00286B6E">
        <w:rPr>
          <w:rFonts w:ascii="Arial" w:hAnsi="Arial" w:cs="Arial"/>
          <w:b/>
          <w:noProof/>
          <w:sz w:val="22"/>
          <w:szCs w:val="22"/>
        </w:rPr>
        <w:t>,</w:t>
      </w:r>
      <w:r w:rsidRPr="00286B6E">
        <w:rPr>
          <w:rFonts w:ascii="Arial" w:hAnsi="Arial" w:cs="Arial"/>
          <w:noProof/>
          <w:sz w:val="22"/>
          <w:szCs w:val="22"/>
        </w:rPr>
        <w:t xml:space="preserve"> 832-841.</w:t>
      </w:r>
      <w:bookmarkEnd w:id="53"/>
    </w:p>
    <w:p w:rsidR="00286B6E" w:rsidRPr="00286B6E" w:rsidRDefault="00286B6E" w:rsidP="00286B6E">
      <w:pPr>
        <w:spacing w:after="300" w:line="360" w:lineRule="auto"/>
        <w:jc w:val="both"/>
        <w:rPr>
          <w:rFonts w:ascii="Arial" w:hAnsi="Arial" w:cs="Arial"/>
          <w:noProof/>
          <w:sz w:val="22"/>
          <w:szCs w:val="22"/>
        </w:rPr>
      </w:pPr>
      <w:bookmarkStart w:id="54" w:name="_ENREF_49"/>
      <w:r w:rsidRPr="00286B6E">
        <w:rPr>
          <w:rFonts w:ascii="Arial" w:hAnsi="Arial" w:cs="Arial"/>
          <w:noProof/>
          <w:sz w:val="22"/>
          <w:szCs w:val="22"/>
        </w:rPr>
        <w:lastRenderedPageBreak/>
        <w:t xml:space="preserve">Hsu, F.-M., Horng, D.-J. &amp; Hsueh, C.-C. 2009. The effect of government-sponsored R&amp;D programmes on additionality in recipient firms in Taiwan. </w:t>
      </w:r>
      <w:r w:rsidRPr="00286B6E">
        <w:rPr>
          <w:rFonts w:ascii="Arial" w:hAnsi="Arial" w:cs="Arial"/>
          <w:i/>
          <w:noProof/>
          <w:sz w:val="22"/>
          <w:szCs w:val="22"/>
        </w:rPr>
        <w:t>Technovation</w:t>
      </w:r>
      <w:r w:rsidR="00ED2E6C">
        <w:rPr>
          <w:rFonts w:ascii="Arial" w:hAnsi="Arial" w:cs="Arial"/>
          <w:i/>
          <w:noProof/>
          <w:sz w:val="22"/>
          <w:szCs w:val="22"/>
        </w:rPr>
        <w:t xml:space="preserve">. </w:t>
      </w:r>
      <w:r w:rsidRPr="00286B6E">
        <w:rPr>
          <w:rFonts w:ascii="Arial" w:hAnsi="Arial" w:cs="Arial"/>
          <w:noProof/>
          <w:sz w:val="22"/>
          <w:szCs w:val="22"/>
        </w:rPr>
        <w:t>29</w:t>
      </w:r>
      <w:r w:rsidRPr="00286B6E">
        <w:rPr>
          <w:rFonts w:ascii="Arial" w:hAnsi="Arial" w:cs="Arial"/>
          <w:b/>
          <w:noProof/>
          <w:sz w:val="22"/>
          <w:szCs w:val="22"/>
        </w:rPr>
        <w:t>,</w:t>
      </w:r>
      <w:r w:rsidRPr="00286B6E">
        <w:rPr>
          <w:rFonts w:ascii="Arial" w:hAnsi="Arial" w:cs="Arial"/>
          <w:noProof/>
          <w:sz w:val="22"/>
          <w:szCs w:val="22"/>
        </w:rPr>
        <w:t xml:space="preserve"> 204-217.</w:t>
      </w:r>
      <w:bookmarkEnd w:id="54"/>
    </w:p>
    <w:p w:rsidR="00286B6E" w:rsidRPr="00286B6E" w:rsidRDefault="00286B6E" w:rsidP="00286B6E">
      <w:pPr>
        <w:spacing w:after="300" w:line="360" w:lineRule="auto"/>
        <w:jc w:val="both"/>
        <w:rPr>
          <w:rFonts w:ascii="Arial" w:hAnsi="Arial" w:cs="Arial"/>
          <w:sz w:val="22"/>
          <w:szCs w:val="22"/>
        </w:rPr>
      </w:pPr>
      <w:bookmarkStart w:id="55" w:name="_ENREF_50"/>
      <w:r w:rsidRPr="00286B6E">
        <w:rPr>
          <w:rFonts w:ascii="Arial" w:hAnsi="Arial" w:cs="Arial"/>
          <w:sz w:val="22"/>
          <w:szCs w:val="22"/>
        </w:rPr>
        <w:t xml:space="preserve">Hyvärinen, J. 2006. Behavioural additionality of </w:t>
      </w:r>
      <w:r w:rsidR="00AB0B1E">
        <w:rPr>
          <w:rFonts w:ascii="Arial" w:hAnsi="Arial" w:cs="Arial"/>
          <w:sz w:val="22"/>
          <w:szCs w:val="22"/>
        </w:rPr>
        <w:t>public R&amp;D funding in Finland. I</w:t>
      </w:r>
      <w:r w:rsidR="00D43BF6">
        <w:rPr>
          <w:rFonts w:ascii="Arial" w:hAnsi="Arial" w:cs="Arial"/>
          <w:sz w:val="22"/>
          <w:szCs w:val="22"/>
        </w:rPr>
        <w:t>n: OECD, ed.</w:t>
      </w:r>
      <w:r w:rsidRPr="00286B6E">
        <w:rPr>
          <w:rFonts w:ascii="Arial" w:hAnsi="Arial" w:cs="Arial"/>
          <w:sz w:val="22"/>
          <w:szCs w:val="22"/>
        </w:rPr>
        <w:t xml:space="preserve"> </w:t>
      </w:r>
      <w:r w:rsidRPr="00D43BF6">
        <w:rPr>
          <w:rFonts w:ascii="Arial" w:hAnsi="Arial" w:cs="Arial"/>
          <w:i/>
          <w:sz w:val="22"/>
          <w:szCs w:val="22"/>
        </w:rPr>
        <w:t xml:space="preserve">Government R&amp;D </w:t>
      </w:r>
      <w:r w:rsidR="00E32959" w:rsidRPr="00D43BF6">
        <w:rPr>
          <w:rFonts w:ascii="Arial" w:hAnsi="Arial" w:cs="Arial"/>
          <w:i/>
          <w:sz w:val="22"/>
          <w:szCs w:val="22"/>
        </w:rPr>
        <w:t>f</w:t>
      </w:r>
      <w:r w:rsidRPr="00D43BF6">
        <w:rPr>
          <w:rFonts w:ascii="Arial" w:hAnsi="Arial" w:cs="Arial"/>
          <w:i/>
          <w:sz w:val="22"/>
          <w:szCs w:val="22"/>
        </w:rPr>
        <w:t xml:space="preserve">unding and company behaviour: </w:t>
      </w:r>
      <w:r w:rsidR="00E32959" w:rsidRPr="00D43BF6">
        <w:rPr>
          <w:rFonts w:ascii="Arial" w:hAnsi="Arial" w:cs="Arial"/>
          <w:i/>
          <w:sz w:val="22"/>
          <w:szCs w:val="22"/>
        </w:rPr>
        <w:t>m</w:t>
      </w:r>
      <w:r w:rsidRPr="00D43BF6">
        <w:rPr>
          <w:rFonts w:ascii="Arial" w:hAnsi="Arial" w:cs="Arial"/>
          <w:i/>
          <w:sz w:val="22"/>
          <w:szCs w:val="22"/>
        </w:rPr>
        <w:t>easuring behavioural additionality</w:t>
      </w:r>
      <w:r w:rsidRPr="00286B6E">
        <w:rPr>
          <w:rFonts w:ascii="Arial" w:hAnsi="Arial" w:cs="Arial"/>
          <w:sz w:val="22"/>
          <w:szCs w:val="22"/>
        </w:rPr>
        <w:t xml:space="preserve">. </w:t>
      </w:r>
      <w:r w:rsidR="00AB0B1E" w:rsidRPr="00286B6E">
        <w:rPr>
          <w:rFonts w:ascii="Arial" w:hAnsi="Arial" w:cs="Arial"/>
          <w:sz w:val="22"/>
          <w:szCs w:val="22"/>
        </w:rPr>
        <w:t>Paris</w:t>
      </w:r>
      <w:r w:rsidR="00AB0B1E">
        <w:rPr>
          <w:rFonts w:ascii="Arial" w:hAnsi="Arial" w:cs="Arial"/>
          <w:sz w:val="22"/>
          <w:szCs w:val="22"/>
        </w:rPr>
        <w:t>: OECD</w:t>
      </w:r>
      <w:r w:rsidRPr="00286B6E">
        <w:rPr>
          <w:rFonts w:ascii="Arial" w:hAnsi="Arial" w:cs="Arial"/>
          <w:sz w:val="22"/>
          <w:szCs w:val="22"/>
        </w:rPr>
        <w:t>.</w:t>
      </w:r>
    </w:p>
    <w:p w:rsidR="00286B6E" w:rsidRPr="00286B6E" w:rsidRDefault="00286B6E" w:rsidP="00286B6E">
      <w:pPr>
        <w:autoSpaceDE w:val="0"/>
        <w:autoSpaceDN w:val="0"/>
        <w:adjustRightInd w:val="0"/>
        <w:spacing w:after="300" w:line="360" w:lineRule="auto"/>
        <w:jc w:val="both"/>
        <w:rPr>
          <w:rFonts w:ascii="Arial" w:hAnsi="Arial" w:cs="Arial"/>
          <w:sz w:val="22"/>
          <w:szCs w:val="22"/>
        </w:rPr>
      </w:pPr>
      <w:bookmarkStart w:id="56" w:name="_ENREF_51"/>
      <w:bookmarkEnd w:id="55"/>
      <w:r w:rsidRPr="00286B6E">
        <w:rPr>
          <w:rFonts w:ascii="Arial" w:hAnsi="Arial" w:cs="Arial"/>
          <w:sz w:val="22"/>
          <w:szCs w:val="22"/>
        </w:rPr>
        <w:t xml:space="preserve">Ingram, P., &amp; Baum, J.A.C. 1997. Opportunity and constraint: Organizations’ learning from the operating and competitive experience of industries. </w:t>
      </w:r>
      <w:r w:rsidRPr="00264B63">
        <w:rPr>
          <w:rFonts w:ascii="Arial" w:hAnsi="Arial" w:cs="Arial"/>
          <w:bCs/>
          <w:i/>
          <w:iCs/>
          <w:sz w:val="22"/>
          <w:szCs w:val="22"/>
        </w:rPr>
        <w:t>Strategic Management Journal</w:t>
      </w:r>
      <w:r w:rsidR="00264B63">
        <w:rPr>
          <w:rFonts w:ascii="Arial" w:hAnsi="Arial" w:cs="Arial"/>
          <w:sz w:val="22"/>
          <w:szCs w:val="22"/>
        </w:rPr>
        <w:t>.</w:t>
      </w:r>
      <w:r w:rsidRPr="00286B6E">
        <w:rPr>
          <w:rFonts w:ascii="Arial" w:hAnsi="Arial" w:cs="Arial"/>
          <w:sz w:val="22"/>
          <w:szCs w:val="22"/>
        </w:rPr>
        <w:t xml:space="preserve"> 18, 75</w:t>
      </w:r>
      <w:r w:rsidR="00D43BF6">
        <w:rPr>
          <w:rFonts w:ascii="Arial" w:hAnsi="Arial" w:cs="Arial"/>
          <w:sz w:val="22"/>
          <w:szCs w:val="22"/>
        </w:rPr>
        <w:t>-</w:t>
      </w:r>
      <w:r w:rsidRPr="00286B6E">
        <w:rPr>
          <w:rFonts w:ascii="Arial" w:hAnsi="Arial" w:cs="Arial"/>
          <w:sz w:val="22"/>
          <w:szCs w:val="22"/>
        </w:rPr>
        <w:t>98.</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Jimenez-Jimenez, D. &amp; Sanz-Valle, R. 2011. Innovation, organizational learning, and performance. </w:t>
      </w:r>
      <w:r w:rsidRPr="00286B6E">
        <w:rPr>
          <w:rFonts w:ascii="Arial" w:hAnsi="Arial" w:cs="Arial"/>
          <w:i/>
          <w:noProof/>
          <w:sz w:val="22"/>
          <w:szCs w:val="22"/>
        </w:rPr>
        <w:t xml:space="preserve">Journal </w:t>
      </w:r>
      <w:r w:rsidR="008B04E1">
        <w:rPr>
          <w:rFonts w:ascii="Arial" w:hAnsi="Arial" w:cs="Arial"/>
          <w:i/>
          <w:noProof/>
          <w:sz w:val="22"/>
          <w:szCs w:val="22"/>
        </w:rPr>
        <w:t>o</w:t>
      </w:r>
      <w:r w:rsidR="008B04E1" w:rsidRPr="00286B6E">
        <w:rPr>
          <w:rFonts w:ascii="Arial" w:hAnsi="Arial" w:cs="Arial"/>
          <w:i/>
          <w:noProof/>
          <w:sz w:val="22"/>
          <w:szCs w:val="22"/>
        </w:rPr>
        <w:t>f Business Research</w:t>
      </w:r>
      <w:r w:rsidR="00264B63">
        <w:rPr>
          <w:rFonts w:ascii="Arial" w:hAnsi="Arial" w:cs="Arial"/>
          <w:i/>
          <w:noProof/>
          <w:sz w:val="22"/>
          <w:szCs w:val="22"/>
        </w:rPr>
        <w:t>.</w:t>
      </w:r>
      <w:r w:rsidRPr="00286B6E">
        <w:rPr>
          <w:rFonts w:ascii="Arial" w:hAnsi="Arial" w:cs="Arial"/>
          <w:noProof/>
          <w:sz w:val="22"/>
          <w:szCs w:val="22"/>
        </w:rPr>
        <w:t xml:space="preserve"> 64</w:t>
      </w:r>
      <w:r w:rsidR="00264B63">
        <w:rPr>
          <w:rFonts w:ascii="Arial" w:hAnsi="Arial" w:cs="Arial"/>
          <w:b/>
          <w:noProof/>
          <w:sz w:val="22"/>
          <w:szCs w:val="22"/>
        </w:rPr>
        <w:t>,</w:t>
      </w:r>
      <w:r w:rsidRPr="00286B6E">
        <w:rPr>
          <w:rFonts w:ascii="Arial" w:hAnsi="Arial" w:cs="Arial"/>
          <w:noProof/>
          <w:sz w:val="22"/>
          <w:szCs w:val="22"/>
        </w:rPr>
        <w:t xml:space="preserve"> 408-417.</w:t>
      </w:r>
      <w:bookmarkEnd w:id="56"/>
    </w:p>
    <w:p w:rsidR="00286B6E" w:rsidRPr="00286B6E" w:rsidRDefault="00286B6E" w:rsidP="00286B6E">
      <w:pPr>
        <w:spacing w:after="300" w:line="360" w:lineRule="auto"/>
        <w:jc w:val="both"/>
        <w:rPr>
          <w:rFonts w:ascii="Arial" w:hAnsi="Arial" w:cs="Arial"/>
          <w:noProof/>
          <w:sz w:val="22"/>
          <w:szCs w:val="22"/>
        </w:rPr>
      </w:pPr>
      <w:bookmarkStart w:id="57" w:name="_ENREF_52"/>
      <w:r w:rsidRPr="00286B6E">
        <w:rPr>
          <w:rFonts w:ascii="Arial" w:hAnsi="Arial" w:cs="Arial"/>
          <w:noProof/>
          <w:sz w:val="22"/>
          <w:szCs w:val="22"/>
        </w:rPr>
        <w:t xml:space="preserve">Kim, E.-S. &amp; Song, Y.-I. 2007. </w:t>
      </w:r>
      <w:r w:rsidRPr="00286B6E">
        <w:rPr>
          <w:rFonts w:ascii="Arial" w:hAnsi="Arial" w:cs="Arial"/>
          <w:i/>
          <w:noProof/>
          <w:sz w:val="22"/>
          <w:szCs w:val="22"/>
        </w:rPr>
        <w:t xml:space="preserve">Behavioural additionality of R&amp;D evaluation: Empirical evidence from Korea </w:t>
      </w:r>
      <w:r w:rsidR="008B04E1">
        <w:rPr>
          <w:rFonts w:ascii="Arial" w:hAnsi="Arial" w:cs="Arial"/>
          <w:i/>
          <w:noProof/>
          <w:sz w:val="22"/>
          <w:szCs w:val="22"/>
        </w:rPr>
        <w:t>P</w:t>
      </w:r>
      <w:r w:rsidRPr="00286B6E">
        <w:rPr>
          <w:rFonts w:ascii="Arial" w:hAnsi="Arial" w:cs="Arial"/>
          <w:i/>
          <w:noProof/>
          <w:sz w:val="22"/>
          <w:szCs w:val="22"/>
        </w:rPr>
        <w:t xml:space="preserve">ublic R&amp;D </w:t>
      </w:r>
      <w:r w:rsidR="008B04E1">
        <w:rPr>
          <w:rFonts w:ascii="Arial" w:hAnsi="Arial" w:cs="Arial"/>
          <w:i/>
          <w:noProof/>
          <w:sz w:val="22"/>
          <w:szCs w:val="22"/>
        </w:rPr>
        <w:t>P</w:t>
      </w:r>
      <w:r w:rsidRPr="00286B6E">
        <w:rPr>
          <w:rFonts w:ascii="Arial" w:hAnsi="Arial" w:cs="Arial"/>
          <w:i/>
          <w:noProof/>
          <w:sz w:val="22"/>
          <w:szCs w:val="22"/>
        </w:rPr>
        <w:t>rogram</w:t>
      </w:r>
      <w:r w:rsidRPr="00286B6E">
        <w:rPr>
          <w:rFonts w:ascii="Arial" w:hAnsi="Arial" w:cs="Arial"/>
          <w:noProof/>
          <w:sz w:val="22"/>
          <w:szCs w:val="22"/>
        </w:rPr>
        <w:t>.</w:t>
      </w:r>
      <w:bookmarkEnd w:id="57"/>
      <w:r w:rsidR="00ED122E">
        <w:rPr>
          <w:rFonts w:ascii="Arial" w:hAnsi="Arial" w:cs="Arial"/>
          <w:noProof/>
          <w:sz w:val="22"/>
          <w:szCs w:val="22"/>
        </w:rPr>
        <w:t xml:space="preserve"> </w:t>
      </w:r>
      <w:r w:rsidR="007D4233">
        <w:rPr>
          <w:rFonts w:ascii="Arial" w:hAnsi="Arial" w:cs="Arial"/>
          <w:noProof/>
          <w:sz w:val="22"/>
          <w:szCs w:val="22"/>
        </w:rPr>
        <w:t xml:space="preserve">Portland, Oregon: </w:t>
      </w:r>
      <w:r w:rsidR="00ED122E">
        <w:rPr>
          <w:rFonts w:ascii="Arial" w:hAnsi="Arial" w:cs="Arial"/>
          <w:noProof/>
          <w:sz w:val="22"/>
          <w:szCs w:val="22"/>
        </w:rPr>
        <w:t>Portland International Centre for Management of Engineering and Technology.</w:t>
      </w:r>
      <w:r w:rsidR="007D4233">
        <w:rPr>
          <w:rFonts w:ascii="Arial" w:hAnsi="Arial" w:cs="Arial"/>
          <w:noProof/>
          <w:sz w:val="22"/>
          <w:szCs w:val="22"/>
        </w:rPr>
        <w:t xml:space="preserve"> </w:t>
      </w:r>
      <w:r w:rsidR="00ED122E">
        <w:rPr>
          <w:rFonts w:ascii="Arial" w:hAnsi="Arial" w:cs="Arial"/>
          <w:noProof/>
          <w:sz w:val="22"/>
          <w:szCs w:val="22"/>
        </w:rPr>
        <w:t xml:space="preserve"> 2247-2250</w:t>
      </w:r>
      <w:r w:rsidR="00067D70">
        <w:rPr>
          <w:rFonts w:ascii="Arial" w:hAnsi="Arial" w:cs="Arial"/>
          <w:noProof/>
          <w:sz w:val="22"/>
          <w:szCs w:val="22"/>
        </w:rPr>
        <w:t>.</w:t>
      </w:r>
    </w:p>
    <w:p w:rsidR="00286B6E" w:rsidRPr="00286B6E" w:rsidRDefault="00286B6E" w:rsidP="00286B6E">
      <w:pPr>
        <w:tabs>
          <w:tab w:val="left" w:pos="851"/>
        </w:tabs>
        <w:spacing w:after="300" w:line="360" w:lineRule="auto"/>
        <w:jc w:val="both"/>
        <w:rPr>
          <w:rFonts w:ascii="Arial" w:hAnsi="Arial" w:cs="Arial"/>
          <w:sz w:val="22"/>
          <w:szCs w:val="22"/>
        </w:rPr>
      </w:pPr>
      <w:bookmarkStart w:id="58" w:name="_ENREF_53"/>
      <w:r w:rsidRPr="00286B6E">
        <w:rPr>
          <w:rFonts w:ascii="Arial" w:hAnsi="Arial" w:cs="Arial"/>
          <w:sz w:val="22"/>
          <w:szCs w:val="22"/>
        </w:rPr>
        <w:t xml:space="preserve">Kleer, R. 2010. Government R&amp;D subsidies as a signal for private investors. </w:t>
      </w:r>
      <w:r w:rsidRPr="00264B63">
        <w:rPr>
          <w:rFonts w:ascii="Arial" w:hAnsi="Arial" w:cs="Arial"/>
          <w:i/>
          <w:sz w:val="22"/>
          <w:szCs w:val="22"/>
        </w:rPr>
        <w:t>Research Policy</w:t>
      </w:r>
      <w:r w:rsidR="00264B63">
        <w:rPr>
          <w:rFonts w:ascii="Arial" w:hAnsi="Arial" w:cs="Arial"/>
          <w:sz w:val="22"/>
          <w:szCs w:val="22"/>
        </w:rPr>
        <w:t xml:space="preserve">. </w:t>
      </w:r>
      <w:r w:rsidRPr="00264B63">
        <w:rPr>
          <w:rFonts w:ascii="Arial" w:hAnsi="Arial" w:cs="Arial"/>
          <w:bCs/>
          <w:sz w:val="22"/>
          <w:szCs w:val="22"/>
        </w:rPr>
        <w:t>39</w:t>
      </w:r>
      <w:r w:rsidR="00264B63">
        <w:rPr>
          <w:rFonts w:ascii="Arial" w:hAnsi="Arial" w:cs="Arial"/>
          <w:sz w:val="22"/>
          <w:szCs w:val="22"/>
        </w:rPr>
        <w:t>(10)</w:t>
      </w:r>
      <w:r w:rsidR="00067D70">
        <w:rPr>
          <w:rFonts w:ascii="Arial" w:hAnsi="Arial" w:cs="Arial"/>
          <w:sz w:val="22"/>
          <w:szCs w:val="22"/>
        </w:rPr>
        <w:t>,</w:t>
      </w:r>
      <w:r w:rsidRPr="00286B6E">
        <w:rPr>
          <w:rFonts w:ascii="Arial" w:hAnsi="Arial" w:cs="Arial"/>
          <w:sz w:val="22"/>
          <w:szCs w:val="22"/>
        </w:rPr>
        <w:t xml:space="preserve"> 1361-1374.</w:t>
      </w:r>
    </w:p>
    <w:p w:rsidR="00286B6E" w:rsidRPr="00286B6E" w:rsidRDefault="00286B6E" w:rsidP="00286B6E">
      <w:pPr>
        <w:spacing w:after="300" w:line="360" w:lineRule="auto"/>
        <w:jc w:val="both"/>
        <w:rPr>
          <w:rFonts w:ascii="Arial" w:hAnsi="Arial" w:cs="Arial"/>
          <w:noProof/>
          <w:sz w:val="22"/>
          <w:szCs w:val="22"/>
        </w:rPr>
      </w:pPr>
      <w:bookmarkStart w:id="59" w:name="_ENREF_55"/>
      <w:bookmarkEnd w:id="58"/>
      <w:r w:rsidRPr="00286B6E">
        <w:rPr>
          <w:rFonts w:ascii="Arial" w:hAnsi="Arial" w:cs="Arial"/>
          <w:noProof/>
          <w:sz w:val="22"/>
          <w:szCs w:val="22"/>
        </w:rPr>
        <w:t xml:space="preserve">Klette, T. J. &amp; Johansen, F. 1998. </w:t>
      </w:r>
      <w:r w:rsidR="00067D70">
        <w:rPr>
          <w:rFonts w:ascii="Arial" w:hAnsi="Arial" w:cs="Arial"/>
          <w:noProof/>
          <w:sz w:val="22"/>
          <w:szCs w:val="22"/>
        </w:rPr>
        <w:t>A</w:t>
      </w:r>
      <w:r w:rsidR="00067D70" w:rsidRPr="00286B6E">
        <w:rPr>
          <w:rFonts w:ascii="Arial" w:hAnsi="Arial" w:cs="Arial"/>
          <w:noProof/>
          <w:sz w:val="22"/>
          <w:szCs w:val="22"/>
        </w:rPr>
        <w:t xml:space="preserve">ccumulation of R&amp;D capital and dynamic firm performance: a </w:t>
      </w:r>
      <w:r w:rsidR="00067D70">
        <w:rPr>
          <w:rFonts w:ascii="Arial" w:hAnsi="Arial" w:cs="Arial"/>
          <w:noProof/>
          <w:sz w:val="22"/>
          <w:szCs w:val="22"/>
        </w:rPr>
        <w:t>Not-so-fixed Effect M</w:t>
      </w:r>
      <w:r w:rsidR="00067D70" w:rsidRPr="00286B6E">
        <w:rPr>
          <w:rFonts w:ascii="Arial" w:hAnsi="Arial" w:cs="Arial"/>
          <w:noProof/>
          <w:sz w:val="22"/>
          <w:szCs w:val="22"/>
        </w:rPr>
        <w:t>odel</w:t>
      </w:r>
      <w:r w:rsidRPr="00286B6E">
        <w:rPr>
          <w:rFonts w:ascii="Arial" w:hAnsi="Arial" w:cs="Arial"/>
          <w:noProof/>
          <w:sz w:val="22"/>
          <w:szCs w:val="22"/>
        </w:rPr>
        <w:t xml:space="preserve">. </w:t>
      </w:r>
      <w:r w:rsidRPr="00286B6E">
        <w:rPr>
          <w:rFonts w:ascii="Arial" w:hAnsi="Arial" w:cs="Arial"/>
          <w:i/>
          <w:noProof/>
          <w:sz w:val="22"/>
          <w:szCs w:val="22"/>
        </w:rPr>
        <w:t>Annales de Economie et de Statistique</w:t>
      </w:r>
      <w:r w:rsidR="00264B63">
        <w:rPr>
          <w:rFonts w:ascii="Arial" w:hAnsi="Arial" w:cs="Arial"/>
          <w:i/>
          <w:noProof/>
          <w:sz w:val="22"/>
          <w:szCs w:val="22"/>
        </w:rPr>
        <w:t>.</w:t>
      </w:r>
      <w:r w:rsidRPr="00286B6E">
        <w:rPr>
          <w:rFonts w:ascii="Arial" w:hAnsi="Arial" w:cs="Arial"/>
          <w:noProof/>
          <w:sz w:val="22"/>
          <w:szCs w:val="22"/>
        </w:rPr>
        <w:t xml:space="preserve"> 49-50</w:t>
      </w:r>
      <w:r w:rsidRPr="00286B6E">
        <w:rPr>
          <w:rFonts w:ascii="Arial" w:hAnsi="Arial" w:cs="Arial"/>
          <w:b/>
          <w:noProof/>
          <w:sz w:val="22"/>
          <w:szCs w:val="22"/>
        </w:rPr>
        <w:t>,</w:t>
      </w:r>
      <w:r w:rsidRPr="00286B6E">
        <w:rPr>
          <w:rFonts w:ascii="Arial" w:hAnsi="Arial" w:cs="Arial"/>
          <w:noProof/>
          <w:sz w:val="22"/>
          <w:szCs w:val="22"/>
        </w:rPr>
        <w:t xml:space="preserve"> 389-419.</w:t>
      </w:r>
      <w:bookmarkEnd w:id="59"/>
    </w:p>
    <w:p w:rsidR="00286B6E" w:rsidRPr="00286B6E" w:rsidRDefault="00286B6E" w:rsidP="00286B6E">
      <w:pPr>
        <w:spacing w:after="300" w:line="360" w:lineRule="auto"/>
        <w:jc w:val="both"/>
        <w:rPr>
          <w:rFonts w:ascii="Arial" w:hAnsi="Arial" w:cs="Arial"/>
          <w:sz w:val="22"/>
          <w:szCs w:val="22"/>
        </w:rPr>
      </w:pPr>
      <w:bookmarkStart w:id="60" w:name="_ENREF_56"/>
      <w:r w:rsidRPr="00286B6E">
        <w:rPr>
          <w:rFonts w:ascii="Arial" w:hAnsi="Arial" w:cs="Arial"/>
          <w:sz w:val="22"/>
          <w:szCs w:val="22"/>
        </w:rPr>
        <w:t xml:space="preserve">Knockaert, M., Spithoven, A. &amp; Clarysse, B. 2013. The impact of technology intermediaries on firm cognitive capacity additionality. </w:t>
      </w:r>
      <w:r w:rsidRPr="00D20946">
        <w:rPr>
          <w:rFonts w:ascii="Arial" w:hAnsi="Arial" w:cs="Arial"/>
          <w:i/>
          <w:sz w:val="22"/>
          <w:szCs w:val="22"/>
        </w:rPr>
        <w:t>Technological Forecasting &amp; Social Change</w:t>
      </w:r>
      <w:r w:rsidR="00264B63">
        <w:rPr>
          <w:rFonts w:ascii="Arial" w:hAnsi="Arial" w:cs="Arial"/>
          <w:sz w:val="22"/>
          <w:szCs w:val="22"/>
        </w:rPr>
        <w:t>.</w:t>
      </w:r>
      <w:r w:rsidRPr="00286B6E">
        <w:rPr>
          <w:rFonts w:ascii="Arial" w:hAnsi="Arial" w:cs="Arial"/>
          <w:sz w:val="22"/>
          <w:szCs w:val="22"/>
        </w:rPr>
        <w:t xml:space="preserve"> 81, 376-387.</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Laursen, K. &amp; Salter, A. 2006. Open for Innovation: The role of openness in explaining innovation performance among UK manufacturing firms. </w:t>
      </w:r>
      <w:r w:rsidRPr="00286B6E">
        <w:rPr>
          <w:rFonts w:ascii="Arial" w:hAnsi="Arial" w:cs="Arial"/>
          <w:i/>
          <w:noProof/>
          <w:sz w:val="22"/>
          <w:szCs w:val="22"/>
        </w:rPr>
        <w:t>Strategic Management Journal</w:t>
      </w:r>
      <w:r w:rsidR="00264B63">
        <w:rPr>
          <w:rFonts w:ascii="Arial" w:hAnsi="Arial" w:cs="Arial"/>
          <w:i/>
          <w:noProof/>
          <w:sz w:val="22"/>
          <w:szCs w:val="22"/>
        </w:rPr>
        <w:t>.</w:t>
      </w:r>
      <w:r w:rsidRPr="00286B6E">
        <w:rPr>
          <w:rFonts w:ascii="Arial" w:hAnsi="Arial" w:cs="Arial"/>
          <w:noProof/>
          <w:sz w:val="22"/>
          <w:szCs w:val="22"/>
        </w:rPr>
        <w:t xml:space="preserve"> 27</w:t>
      </w:r>
      <w:r w:rsidRPr="00286B6E">
        <w:rPr>
          <w:rFonts w:ascii="Arial" w:hAnsi="Arial" w:cs="Arial"/>
          <w:b/>
          <w:noProof/>
          <w:sz w:val="22"/>
          <w:szCs w:val="22"/>
        </w:rPr>
        <w:t>,</w:t>
      </w:r>
      <w:r w:rsidRPr="00286B6E">
        <w:rPr>
          <w:rFonts w:ascii="Arial" w:hAnsi="Arial" w:cs="Arial"/>
          <w:noProof/>
          <w:sz w:val="22"/>
          <w:szCs w:val="22"/>
        </w:rPr>
        <w:t xml:space="preserve"> 131-150.</w:t>
      </w:r>
      <w:bookmarkEnd w:id="60"/>
    </w:p>
    <w:p w:rsidR="00D22FA3" w:rsidRDefault="00D22FA3">
      <w:pPr>
        <w:rPr>
          <w:rFonts w:ascii="Arial" w:hAnsi="Arial" w:cs="Arial"/>
          <w:noProof/>
          <w:sz w:val="22"/>
          <w:szCs w:val="22"/>
        </w:rPr>
      </w:pPr>
      <w:bookmarkStart w:id="61" w:name="_ENREF_57"/>
      <w:r>
        <w:rPr>
          <w:rFonts w:ascii="Arial" w:hAnsi="Arial" w:cs="Arial"/>
          <w:noProof/>
          <w:sz w:val="22"/>
          <w:szCs w:val="22"/>
        </w:rPr>
        <w:br w:type="page"/>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lastRenderedPageBreak/>
        <w:t xml:space="preserve">Leiponen, A. 2005. Skills and innovation. </w:t>
      </w:r>
      <w:r w:rsidRPr="00286B6E">
        <w:rPr>
          <w:rFonts w:ascii="Arial" w:hAnsi="Arial" w:cs="Arial"/>
          <w:i/>
          <w:noProof/>
          <w:sz w:val="22"/>
          <w:szCs w:val="22"/>
        </w:rPr>
        <w:t>International Journal of Industrial Organization</w:t>
      </w:r>
      <w:r w:rsidR="005A4CC7">
        <w:rPr>
          <w:rFonts w:ascii="Arial" w:hAnsi="Arial" w:cs="Arial"/>
          <w:i/>
          <w:noProof/>
          <w:sz w:val="22"/>
          <w:szCs w:val="22"/>
        </w:rPr>
        <w:t xml:space="preserve">. </w:t>
      </w:r>
      <w:r w:rsidRPr="00286B6E">
        <w:rPr>
          <w:rFonts w:ascii="Arial" w:hAnsi="Arial" w:cs="Arial"/>
          <w:noProof/>
          <w:sz w:val="22"/>
          <w:szCs w:val="22"/>
        </w:rPr>
        <w:t>23</w:t>
      </w:r>
      <w:r w:rsidRPr="00286B6E">
        <w:rPr>
          <w:rFonts w:ascii="Arial" w:hAnsi="Arial" w:cs="Arial"/>
          <w:b/>
          <w:noProof/>
          <w:sz w:val="22"/>
          <w:szCs w:val="22"/>
        </w:rPr>
        <w:t>,</w:t>
      </w:r>
      <w:r w:rsidRPr="00286B6E">
        <w:rPr>
          <w:rFonts w:ascii="Arial" w:hAnsi="Arial" w:cs="Arial"/>
          <w:noProof/>
          <w:sz w:val="22"/>
          <w:szCs w:val="22"/>
        </w:rPr>
        <w:t xml:space="preserve"> 303-323.</w:t>
      </w:r>
      <w:bookmarkEnd w:id="61"/>
    </w:p>
    <w:p w:rsidR="00286B6E" w:rsidRPr="00286B6E" w:rsidRDefault="00286B6E" w:rsidP="00286B6E">
      <w:pPr>
        <w:spacing w:after="300" w:line="360" w:lineRule="auto"/>
        <w:jc w:val="both"/>
        <w:rPr>
          <w:rFonts w:ascii="Arial" w:hAnsi="Arial" w:cs="Arial"/>
          <w:noProof/>
          <w:sz w:val="22"/>
          <w:szCs w:val="22"/>
        </w:rPr>
      </w:pPr>
      <w:bookmarkStart w:id="62" w:name="_ENREF_58"/>
      <w:r w:rsidRPr="003F74AB">
        <w:rPr>
          <w:rFonts w:ascii="Arial" w:hAnsi="Arial" w:cs="Arial"/>
          <w:noProof/>
          <w:sz w:val="22"/>
          <w:szCs w:val="22"/>
        </w:rPr>
        <w:t>Leiponen, A. &amp;</w:t>
      </w:r>
      <w:r w:rsidRPr="00286B6E">
        <w:rPr>
          <w:rFonts w:ascii="Arial" w:hAnsi="Arial" w:cs="Arial"/>
          <w:noProof/>
          <w:sz w:val="22"/>
          <w:szCs w:val="22"/>
        </w:rPr>
        <w:t xml:space="preserve"> Helfat, C. E. 2010. Innovation objectives, knowledge sources, and the benefits of breadth. </w:t>
      </w:r>
      <w:r w:rsidRPr="00286B6E">
        <w:rPr>
          <w:rFonts w:ascii="Arial" w:hAnsi="Arial" w:cs="Arial"/>
          <w:i/>
          <w:noProof/>
          <w:sz w:val="22"/>
          <w:szCs w:val="22"/>
        </w:rPr>
        <w:t>Strategic Management Journal</w:t>
      </w:r>
      <w:r w:rsidR="005A4CC7">
        <w:rPr>
          <w:rFonts w:ascii="Arial" w:hAnsi="Arial" w:cs="Arial"/>
          <w:i/>
          <w:noProof/>
          <w:sz w:val="22"/>
          <w:szCs w:val="22"/>
        </w:rPr>
        <w:t>.</w:t>
      </w:r>
      <w:r w:rsidRPr="00286B6E">
        <w:rPr>
          <w:rFonts w:ascii="Arial" w:hAnsi="Arial" w:cs="Arial"/>
          <w:noProof/>
          <w:sz w:val="22"/>
          <w:szCs w:val="22"/>
        </w:rPr>
        <w:t xml:space="preserve"> 31</w:t>
      </w:r>
      <w:r w:rsidRPr="00286B6E">
        <w:rPr>
          <w:rFonts w:ascii="Arial" w:hAnsi="Arial" w:cs="Arial"/>
          <w:b/>
          <w:noProof/>
          <w:sz w:val="22"/>
          <w:szCs w:val="22"/>
        </w:rPr>
        <w:t>,</w:t>
      </w:r>
      <w:r w:rsidRPr="00286B6E">
        <w:rPr>
          <w:rFonts w:ascii="Arial" w:hAnsi="Arial" w:cs="Arial"/>
          <w:noProof/>
          <w:sz w:val="22"/>
          <w:szCs w:val="22"/>
        </w:rPr>
        <w:t xml:space="preserve"> 224-236.</w:t>
      </w:r>
      <w:bookmarkEnd w:id="62"/>
    </w:p>
    <w:p w:rsidR="00286B6E" w:rsidRPr="00286B6E" w:rsidRDefault="00286B6E" w:rsidP="00286B6E">
      <w:pPr>
        <w:spacing w:after="300" w:line="360" w:lineRule="auto"/>
        <w:jc w:val="both"/>
        <w:rPr>
          <w:rFonts w:ascii="Arial" w:hAnsi="Arial" w:cs="Arial"/>
          <w:noProof/>
          <w:sz w:val="22"/>
          <w:szCs w:val="22"/>
        </w:rPr>
      </w:pPr>
      <w:bookmarkStart w:id="63" w:name="_ENREF_59"/>
      <w:r w:rsidRPr="00286B6E">
        <w:rPr>
          <w:rFonts w:ascii="Arial" w:hAnsi="Arial" w:cs="Arial"/>
          <w:noProof/>
          <w:sz w:val="22"/>
          <w:szCs w:val="22"/>
        </w:rPr>
        <w:t xml:space="preserve">Leiponen, A. &amp; Helfat, C. E. 2011. Location, Decentralization, and Knowledge Sources for Innovation. </w:t>
      </w:r>
      <w:r w:rsidRPr="00286B6E">
        <w:rPr>
          <w:rFonts w:ascii="Arial" w:hAnsi="Arial" w:cs="Arial"/>
          <w:i/>
          <w:noProof/>
          <w:sz w:val="22"/>
          <w:szCs w:val="22"/>
        </w:rPr>
        <w:t>Organization Science</w:t>
      </w:r>
      <w:r w:rsidR="005A4CC7">
        <w:rPr>
          <w:rFonts w:ascii="Arial" w:hAnsi="Arial" w:cs="Arial"/>
          <w:i/>
          <w:noProof/>
          <w:sz w:val="22"/>
          <w:szCs w:val="22"/>
        </w:rPr>
        <w:t xml:space="preserve">. </w:t>
      </w:r>
      <w:r w:rsidRPr="00286B6E">
        <w:rPr>
          <w:rFonts w:ascii="Arial" w:hAnsi="Arial" w:cs="Arial"/>
          <w:noProof/>
          <w:sz w:val="22"/>
          <w:szCs w:val="22"/>
        </w:rPr>
        <w:t>22</w:t>
      </w:r>
      <w:r w:rsidRPr="00286B6E">
        <w:rPr>
          <w:rFonts w:ascii="Arial" w:hAnsi="Arial" w:cs="Arial"/>
          <w:b/>
          <w:noProof/>
          <w:sz w:val="22"/>
          <w:szCs w:val="22"/>
        </w:rPr>
        <w:t>,</w:t>
      </w:r>
      <w:r w:rsidRPr="00286B6E">
        <w:rPr>
          <w:rFonts w:ascii="Arial" w:hAnsi="Arial" w:cs="Arial"/>
          <w:noProof/>
          <w:sz w:val="22"/>
          <w:szCs w:val="22"/>
        </w:rPr>
        <w:t xml:space="preserve"> 641-658.</w:t>
      </w:r>
      <w:bookmarkEnd w:id="63"/>
    </w:p>
    <w:p w:rsidR="004551A9" w:rsidRDefault="00286B6E" w:rsidP="00286B6E">
      <w:pPr>
        <w:spacing w:after="300" w:line="360" w:lineRule="auto"/>
        <w:jc w:val="both"/>
        <w:rPr>
          <w:rFonts w:ascii="Arial" w:hAnsi="Arial" w:cs="Arial"/>
          <w:i/>
          <w:noProof/>
          <w:sz w:val="22"/>
          <w:szCs w:val="22"/>
        </w:rPr>
      </w:pPr>
      <w:bookmarkStart w:id="64" w:name="_ENREF_60"/>
      <w:r w:rsidRPr="004551A9">
        <w:rPr>
          <w:rFonts w:ascii="Arial" w:hAnsi="Arial" w:cs="Arial"/>
          <w:noProof/>
          <w:sz w:val="22"/>
          <w:szCs w:val="22"/>
        </w:rPr>
        <w:t>Licht, G. 2003.</w:t>
      </w:r>
      <w:r w:rsidRPr="00286B6E">
        <w:rPr>
          <w:rFonts w:ascii="Arial" w:hAnsi="Arial" w:cs="Arial"/>
          <w:noProof/>
          <w:sz w:val="22"/>
          <w:szCs w:val="22"/>
        </w:rPr>
        <w:t xml:space="preserve"> The role of additionality in Evaluation of Public R&amp;D Programmes. </w:t>
      </w:r>
      <w:r w:rsidR="00091198">
        <w:rPr>
          <w:rFonts w:ascii="Arial" w:hAnsi="Arial" w:cs="Arial"/>
          <w:noProof/>
          <w:sz w:val="22"/>
          <w:szCs w:val="22"/>
        </w:rPr>
        <w:t xml:space="preserve">In: </w:t>
      </w:r>
      <w:r w:rsidRPr="00286B6E">
        <w:rPr>
          <w:rFonts w:ascii="Arial" w:hAnsi="Arial" w:cs="Arial"/>
          <w:i/>
          <w:noProof/>
          <w:sz w:val="22"/>
          <w:szCs w:val="22"/>
        </w:rPr>
        <w:t>11th TAFTIE Seminar</w:t>
      </w:r>
      <w:r w:rsidR="00091198">
        <w:rPr>
          <w:rFonts w:ascii="Arial" w:hAnsi="Arial" w:cs="Arial"/>
          <w:i/>
          <w:noProof/>
          <w:sz w:val="22"/>
          <w:szCs w:val="22"/>
        </w:rPr>
        <w:t xml:space="preserve"> </w:t>
      </w:r>
      <w:r w:rsidR="00091198" w:rsidRPr="00091198">
        <w:rPr>
          <w:rFonts w:ascii="Arial" w:hAnsi="Arial" w:cs="Arial"/>
          <w:i/>
          <w:noProof/>
          <w:sz w:val="22"/>
          <w:szCs w:val="22"/>
        </w:rPr>
        <w:t xml:space="preserve">on </w:t>
      </w:r>
      <w:r w:rsidR="00091198" w:rsidRPr="00286B6E">
        <w:rPr>
          <w:rFonts w:ascii="Arial" w:hAnsi="Arial" w:cs="Arial"/>
          <w:i/>
          <w:noProof/>
          <w:sz w:val="22"/>
          <w:szCs w:val="22"/>
        </w:rPr>
        <w:t>Additionality: Making Public Money Make a Difference</w:t>
      </w:r>
      <w:r w:rsidRPr="00286B6E">
        <w:rPr>
          <w:rFonts w:ascii="Arial" w:hAnsi="Arial" w:cs="Arial"/>
          <w:i/>
          <w:noProof/>
          <w:sz w:val="22"/>
          <w:szCs w:val="22"/>
        </w:rPr>
        <w:t>,</w:t>
      </w:r>
      <w:r w:rsidR="004551A9">
        <w:rPr>
          <w:rFonts w:ascii="Arial" w:hAnsi="Arial" w:cs="Arial"/>
          <w:i/>
          <w:noProof/>
          <w:sz w:val="22"/>
          <w:szCs w:val="22"/>
        </w:rPr>
        <w:t xml:space="preserve"> </w:t>
      </w:r>
      <w:r w:rsidR="00091198">
        <w:rPr>
          <w:rFonts w:ascii="Arial" w:hAnsi="Arial" w:cs="Arial"/>
          <w:i/>
          <w:noProof/>
          <w:sz w:val="22"/>
          <w:szCs w:val="22"/>
        </w:rPr>
        <w:t xml:space="preserve">24-25 November, </w:t>
      </w:r>
      <w:r w:rsidR="00091198" w:rsidRPr="00286B6E">
        <w:rPr>
          <w:rFonts w:ascii="Arial" w:hAnsi="Arial" w:cs="Arial"/>
          <w:noProof/>
          <w:sz w:val="22"/>
          <w:szCs w:val="22"/>
        </w:rPr>
        <w:t>Vienna</w:t>
      </w:r>
      <w:r w:rsidR="00091198">
        <w:rPr>
          <w:rFonts w:ascii="Arial" w:hAnsi="Arial" w:cs="Arial"/>
          <w:i/>
          <w:noProof/>
          <w:sz w:val="22"/>
          <w:szCs w:val="22"/>
        </w:rPr>
        <w:t>.</w:t>
      </w:r>
      <w:r w:rsidRPr="00286B6E">
        <w:rPr>
          <w:rFonts w:ascii="Arial" w:hAnsi="Arial" w:cs="Arial"/>
          <w:i/>
          <w:noProof/>
          <w:sz w:val="22"/>
          <w:szCs w:val="22"/>
        </w:rPr>
        <w:t xml:space="preserve"> </w:t>
      </w:r>
      <w:bookmarkStart w:id="65" w:name="_ENREF_61"/>
      <w:bookmarkEnd w:id="64"/>
    </w:p>
    <w:p w:rsidR="00286B6E" w:rsidRPr="00286B6E" w:rsidRDefault="00286B6E" w:rsidP="00286B6E">
      <w:pPr>
        <w:spacing w:after="300" w:line="360" w:lineRule="auto"/>
        <w:jc w:val="both"/>
        <w:rPr>
          <w:rFonts w:ascii="Arial" w:hAnsi="Arial" w:cs="Arial"/>
          <w:noProof/>
          <w:sz w:val="22"/>
          <w:szCs w:val="22"/>
        </w:rPr>
      </w:pPr>
      <w:r w:rsidRPr="001C265E">
        <w:rPr>
          <w:rFonts w:ascii="Arial" w:hAnsi="Arial" w:cs="Arial"/>
          <w:noProof/>
          <w:sz w:val="22"/>
          <w:szCs w:val="22"/>
        </w:rPr>
        <w:t>Love, J. H. &amp; Roper, S.</w:t>
      </w:r>
      <w:r w:rsidRPr="00286B6E">
        <w:rPr>
          <w:rFonts w:ascii="Arial" w:hAnsi="Arial" w:cs="Arial"/>
          <w:noProof/>
          <w:sz w:val="22"/>
          <w:szCs w:val="22"/>
        </w:rPr>
        <w:t xml:space="preserve"> 2001. </w:t>
      </w:r>
      <w:r w:rsidR="001C265E">
        <w:rPr>
          <w:rFonts w:ascii="Arial" w:hAnsi="Arial" w:cs="Arial"/>
          <w:noProof/>
          <w:sz w:val="22"/>
          <w:szCs w:val="22"/>
        </w:rPr>
        <w:t>N</w:t>
      </w:r>
      <w:r w:rsidR="001C265E" w:rsidRPr="00286B6E">
        <w:rPr>
          <w:rFonts w:ascii="Arial" w:hAnsi="Arial" w:cs="Arial"/>
          <w:noProof/>
          <w:sz w:val="22"/>
          <w:szCs w:val="22"/>
        </w:rPr>
        <w:t>etworking and innovation success: a comparison of U</w:t>
      </w:r>
      <w:r w:rsidR="001C265E">
        <w:rPr>
          <w:rFonts w:ascii="Arial" w:hAnsi="Arial" w:cs="Arial"/>
          <w:noProof/>
          <w:sz w:val="22"/>
          <w:szCs w:val="22"/>
        </w:rPr>
        <w:t>K</w:t>
      </w:r>
      <w:r w:rsidR="001C265E" w:rsidRPr="00286B6E">
        <w:rPr>
          <w:rFonts w:ascii="Arial" w:hAnsi="Arial" w:cs="Arial"/>
          <w:noProof/>
          <w:sz w:val="22"/>
          <w:szCs w:val="22"/>
        </w:rPr>
        <w:t xml:space="preserve">, </w:t>
      </w:r>
      <w:r w:rsidR="001C265E">
        <w:rPr>
          <w:rFonts w:ascii="Arial" w:hAnsi="Arial" w:cs="Arial"/>
          <w:noProof/>
          <w:sz w:val="22"/>
          <w:szCs w:val="22"/>
        </w:rPr>
        <w:t>G</w:t>
      </w:r>
      <w:r w:rsidR="001C265E" w:rsidRPr="00286B6E">
        <w:rPr>
          <w:rFonts w:ascii="Arial" w:hAnsi="Arial" w:cs="Arial"/>
          <w:noProof/>
          <w:sz w:val="22"/>
          <w:szCs w:val="22"/>
        </w:rPr>
        <w:t xml:space="preserve">erman and </w:t>
      </w:r>
      <w:r w:rsidR="001C265E">
        <w:rPr>
          <w:rFonts w:ascii="Arial" w:hAnsi="Arial" w:cs="Arial"/>
          <w:noProof/>
          <w:sz w:val="22"/>
          <w:szCs w:val="22"/>
        </w:rPr>
        <w:t>I</w:t>
      </w:r>
      <w:r w:rsidR="001C265E" w:rsidRPr="00286B6E">
        <w:rPr>
          <w:rFonts w:ascii="Arial" w:hAnsi="Arial" w:cs="Arial"/>
          <w:noProof/>
          <w:sz w:val="22"/>
          <w:szCs w:val="22"/>
        </w:rPr>
        <w:t>rish companies</w:t>
      </w:r>
      <w:r w:rsidRPr="00286B6E">
        <w:rPr>
          <w:rFonts w:ascii="Arial" w:hAnsi="Arial" w:cs="Arial"/>
          <w:noProof/>
          <w:sz w:val="22"/>
          <w:szCs w:val="22"/>
        </w:rPr>
        <w:t xml:space="preserve">. </w:t>
      </w:r>
      <w:r w:rsidRPr="00286B6E">
        <w:rPr>
          <w:rFonts w:ascii="Arial" w:hAnsi="Arial" w:cs="Arial"/>
          <w:i/>
          <w:noProof/>
          <w:sz w:val="22"/>
          <w:szCs w:val="22"/>
        </w:rPr>
        <w:t>Research Policy</w:t>
      </w:r>
      <w:r w:rsidR="005A4CC7">
        <w:rPr>
          <w:rFonts w:ascii="Arial" w:hAnsi="Arial" w:cs="Arial"/>
          <w:i/>
          <w:noProof/>
          <w:sz w:val="22"/>
          <w:szCs w:val="22"/>
        </w:rPr>
        <w:t>.</w:t>
      </w:r>
      <w:r w:rsidRPr="00286B6E">
        <w:rPr>
          <w:rFonts w:ascii="Arial" w:hAnsi="Arial" w:cs="Arial"/>
          <w:noProof/>
          <w:sz w:val="22"/>
          <w:szCs w:val="22"/>
        </w:rPr>
        <w:t xml:space="preserve"> 30</w:t>
      </w:r>
      <w:r w:rsidRPr="00286B6E">
        <w:rPr>
          <w:rFonts w:ascii="Arial" w:hAnsi="Arial" w:cs="Arial"/>
          <w:b/>
          <w:noProof/>
          <w:sz w:val="22"/>
          <w:szCs w:val="22"/>
        </w:rPr>
        <w:t>,</w:t>
      </w:r>
      <w:r w:rsidRPr="00286B6E">
        <w:rPr>
          <w:rFonts w:ascii="Arial" w:hAnsi="Arial" w:cs="Arial"/>
          <w:noProof/>
          <w:sz w:val="22"/>
          <w:szCs w:val="22"/>
        </w:rPr>
        <w:t xml:space="preserve"> 643-661.</w:t>
      </w:r>
      <w:bookmarkEnd w:id="65"/>
    </w:p>
    <w:p w:rsidR="00286B6E" w:rsidRPr="00286B6E" w:rsidRDefault="00286B6E" w:rsidP="00286B6E">
      <w:pPr>
        <w:spacing w:after="300" w:line="360" w:lineRule="auto"/>
        <w:jc w:val="both"/>
        <w:rPr>
          <w:rFonts w:ascii="Arial" w:hAnsi="Arial" w:cs="Arial"/>
          <w:noProof/>
          <w:sz w:val="22"/>
          <w:szCs w:val="22"/>
        </w:rPr>
      </w:pPr>
      <w:bookmarkStart w:id="66" w:name="_ENREF_62"/>
      <w:r w:rsidRPr="007E38B2">
        <w:rPr>
          <w:rFonts w:ascii="Arial" w:hAnsi="Arial" w:cs="Arial"/>
          <w:noProof/>
          <w:sz w:val="22"/>
          <w:szCs w:val="22"/>
        </w:rPr>
        <w:t>Love, J. H. &amp; Roper, S.</w:t>
      </w:r>
      <w:r w:rsidRPr="00286B6E">
        <w:rPr>
          <w:rFonts w:ascii="Arial" w:hAnsi="Arial" w:cs="Arial"/>
          <w:noProof/>
          <w:sz w:val="22"/>
          <w:szCs w:val="22"/>
        </w:rPr>
        <w:t xml:space="preserve"> 2005. </w:t>
      </w:r>
      <w:r w:rsidR="00701AD2">
        <w:rPr>
          <w:rFonts w:ascii="Arial" w:hAnsi="Arial" w:cs="Arial"/>
          <w:noProof/>
          <w:sz w:val="22"/>
          <w:szCs w:val="22"/>
        </w:rPr>
        <w:t>I</w:t>
      </w:r>
      <w:r w:rsidR="00701AD2" w:rsidRPr="00286B6E">
        <w:rPr>
          <w:rFonts w:ascii="Arial" w:hAnsi="Arial" w:cs="Arial"/>
          <w:noProof/>
          <w:sz w:val="22"/>
          <w:szCs w:val="22"/>
        </w:rPr>
        <w:t>nnovation, productiv</w:t>
      </w:r>
      <w:r w:rsidR="00701AD2">
        <w:rPr>
          <w:rFonts w:ascii="Arial" w:hAnsi="Arial" w:cs="Arial"/>
          <w:noProof/>
          <w:sz w:val="22"/>
          <w:szCs w:val="22"/>
        </w:rPr>
        <w:t>ity and growth: an analysis of I</w:t>
      </w:r>
      <w:r w:rsidR="00701AD2" w:rsidRPr="00286B6E">
        <w:rPr>
          <w:rFonts w:ascii="Arial" w:hAnsi="Arial" w:cs="Arial"/>
          <w:noProof/>
          <w:sz w:val="22"/>
          <w:szCs w:val="22"/>
        </w:rPr>
        <w:t>rish data</w:t>
      </w:r>
      <w:r w:rsidRPr="00286B6E">
        <w:rPr>
          <w:rFonts w:ascii="Arial" w:hAnsi="Arial" w:cs="Arial"/>
          <w:noProof/>
          <w:sz w:val="22"/>
          <w:szCs w:val="22"/>
        </w:rPr>
        <w:t xml:space="preserve">. </w:t>
      </w:r>
      <w:r w:rsidRPr="00286B6E">
        <w:rPr>
          <w:rFonts w:ascii="Arial" w:hAnsi="Arial" w:cs="Arial"/>
          <w:i/>
          <w:noProof/>
          <w:sz w:val="22"/>
          <w:szCs w:val="22"/>
        </w:rPr>
        <w:t>EARIE Annual Congress</w:t>
      </w:r>
      <w:r w:rsidR="00701AD2">
        <w:rPr>
          <w:rFonts w:ascii="Arial" w:hAnsi="Arial" w:cs="Arial"/>
          <w:i/>
          <w:noProof/>
          <w:sz w:val="22"/>
          <w:szCs w:val="22"/>
        </w:rPr>
        <w:t xml:space="preserve"> 1-4 September, </w:t>
      </w:r>
      <w:r w:rsidRPr="00286B6E">
        <w:rPr>
          <w:rFonts w:ascii="Arial" w:hAnsi="Arial" w:cs="Arial"/>
          <w:noProof/>
          <w:sz w:val="22"/>
          <w:szCs w:val="22"/>
        </w:rPr>
        <w:t>Porto</w:t>
      </w:r>
      <w:r w:rsidR="00701AD2">
        <w:rPr>
          <w:rFonts w:ascii="Arial" w:hAnsi="Arial" w:cs="Arial"/>
          <w:noProof/>
          <w:sz w:val="22"/>
          <w:szCs w:val="22"/>
        </w:rPr>
        <w:t>, Portugal</w:t>
      </w:r>
      <w:r w:rsidRPr="00286B6E">
        <w:rPr>
          <w:rFonts w:ascii="Arial" w:hAnsi="Arial" w:cs="Arial"/>
          <w:noProof/>
          <w:sz w:val="22"/>
          <w:szCs w:val="22"/>
        </w:rPr>
        <w:t>.</w:t>
      </w:r>
      <w:bookmarkEnd w:id="66"/>
    </w:p>
    <w:p w:rsidR="00286B6E" w:rsidRPr="00286B6E" w:rsidRDefault="00286B6E" w:rsidP="00286B6E">
      <w:pPr>
        <w:autoSpaceDE w:val="0"/>
        <w:autoSpaceDN w:val="0"/>
        <w:adjustRightInd w:val="0"/>
        <w:spacing w:after="300" w:line="360" w:lineRule="auto"/>
        <w:jc w:val="both"/>
        <w:rPr>
          <w:rFonts w:ascii="Arial" w:hAnsi="Arial" w:cs="Arial"/>
          <w:sz w:val="22"/>
          <w:szCs w:val="22"/>
        </w:rPr>
      </w:pPr>
      <w:bookmarkStart w:id="67" w:name="_ENREF_63"/>
      <w:r w:rsidRPr="00286B6E">
        <w:rPr>
          <w:rFonts w:ascii="Arial" w:hAnsi="Arial" w:cs="Arial"/>
          <w:sz w:val="22"/>
          <w:szCs w:val="22"/>
        </w:rPr>
        <w:t>Love, J.H, Roper, S. &amp; Vahter, P. 2013. Learning from openness: The dynamics of breadth in external innovation linkages.</w:t>
      </w:r>
      <w:r w:rsidR="007E38B2" w:rsidRPr="007E38B2">
        <w:rPr>
          <w:rFonts w:ascii="Arial" w:hAnsi="Arial" w:cs="Arial"/>
          <w:sz w:val="22"/>
          <w:szCs w:val="22"/>
        </w:rPr>
        <w:t xml:space="preserve"> </w:t>
      </w:r>
      <w:r w:rsidRPr="007E38B2">
        <w:rPr>
          <w:rFonts w:ascii="Arial" w:hAnsi="Arial" w:cs="Arial"/>
          <w:i/>
          <w:sz w:val="22"/>
          <w:szCs w:val="22"/>
        </w:rPr>
        <w:t>Strategic Management Journal</w:t>
      </w:r>
      <w:r w:rsidR="007E38B2">
        <w:rPr>
          <w:rFonts w:ascii="Arial" w:hAnsi="Arial" w:cs="Arial"/>
          <w:sz w:val="22"/>
          <w:szCs w:val="22"/>
        </w:rPr>
        <w:t>.</w:t>
      </w:r>
      <w:r w:rsidRPr="00286B6E">
        <w:rPr>
          <w:rFonts w:ascii="Arial" w:hAnsi="Arial" w:cs="Arial"/>
          <w:sz w:val="22"/>
          <w:szCs w:val="22"/>
        </w:rPr>
        <w:t xml:space="preserve"> DOI: 10.1002/smj.2170.</w:t>
      </w:r>
      <w:r w:rsidR="007E38B2">
        <w:rPr>
          <w:rFonts w:ascii="Arial" w:hAnsi="Arial" w:cs="Arial"/>
          <w:sz w:val="22"/>
          <w:szCs w:val="22"/>
        </w:rPr>
        <w:t xml:space="preserve"> </w:t>
      </w:r>
      <w:r w:rsidR="007E38B2" w:rsidRPr="007E38B2">
        <w:rPr>
          <w:rFonts w:ascii="Arial" w:hAnsi="Arial" w:cs="Arial"/>
          <w:sz w:val="22"/>
          <w:szCs w:val="22"/>
        </w:rPr>
        <w:t>ISSN 0143-2095 (In Press)</w:t>
      </w:r>
      <w:r w:rsidR="007E38B2">
        <w:rPr>
          <w:rFonts w:ascii="Arial" w:hAnsi="Arial" w:cs="Arial"/>
          <w:sz w:val="22"/>
          <w:szCs w:val="22"/>
        </w:rPr>
        <w:t>.</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Luukkonen, T. 2000. Additionality of EU Framework Programmes. </w:t>
      </w:r>
      <w:r w:rsidRPr="00286B6E">
        <w:rPr>
          <w:rFonts w:ascii="Arial" w:hAnsi="Arial" w:cs="Arial"/>
          <w:i/>
          <w:noProof/>
          <w:sz w:val="22"/>
          <w:szCs w:val="22"/>
        </w:rPr>
        <w:t>Research Policy</w:t>
      </w:r>
      <w:r w:rsidR="005A4CC7">
        <w:rPr>
          <w:rFonts w:ascii="Arial" w:hAnsi="Arial" w:cs="Arial"/>
          <w:i/>
          <w:noProof/>
          <w:sz w:val="22"/>
          <w:szCs w:val="22"/>
        </w:rPr>
        <w:t>.</w:t>
      </w:r>
      <w:r w:rsidRPr="00286B6E">
        <w:rPr>
          <w:rFonts w:ascii="Arial" w:hAnsi="Arial" w:cs="Arial"/>
          <w:noProof/>
          <w:sz w:val="22"/>
          <w:szCs w:val="22"/>
        </w:rPr>
        <w:t xml:space="preserve"> 29</w:t>
      </w:r>
      <w:r w:rsidRPr="00286B6E">
        <w:rPr>
          <w:rFonts w:ascii="Arial" w:hAnsi="Arial" w:cs="Arial"/>
          <w:b/>
          <w:noProof/>
          <w:sz w:val="22"/>
          <w:szCs w:val="22"/>
        </w:rPr>
        <w:t>,</w:t>
      </w:r>
      <w:r w:rsidRPr="00286B6E">
        <w:rPr>
          <w:rFonts w:ascii="Arial" w:hAnsi="Arial" w:cs="Arial"/>
          <w:noProof/>
          <w:sz w:val="22"/>
          <w:szCs w:val="22"/>
        </w:rPr>
        <w:t xml:space="preserve"> 711-724.</w:t>
      </w:r>
      <w:bookmarkEnd w:id="67"/>
    </w:p>
    <w:p w:rsidR="00286B6E" w:rsidRPr="00286B6E" w:rsidRDefault="00286B6E" w:rsidP="00286B6E">
      <w:pPr>
        <w:spacing w:after="300" w:line="360" w:lineRule="auto"/>
        <w:jc w:val="both"/>
        <w:rPr>
          <w:rFonts w:ascii="Arial" w:hAnsi="Arial" w:cs="Arial"/>
          <w:noProof/>
          <w:sz w:val="22"/>
          <w:szCs w:val="22"/>
        </w:rPr>
      </w:pPr>
      <w:bookmarkStart w:id="68" w:name="_ENREF_66"/>
      <w:r w:rsidRPr="00286B6E">
        <w:rPr>
          <w:rFonts w:ascii="Arial" w:hAnsi="Arial" w:cs="Arial"/>
          <w:noProof/>
          <w:sz w:val="22"/>
          <w:szCs w:val="22"/>
        </w:rPr>
        <w:t xml:space="preserve">Martin, S. &amp; Scott, J. T. 2000. The nature of innovation market failure and the design of public support for private innovation. </w:t>
      </w:r>
      <w:r w:rsidRPr="00286B6E">
        <w:rPr>
          <w:rFonts w:ascii="Arial" w:hAnsi="Arial" w:cs="Arial"/>
          <w:i/>
          <w:noProof/>
          <w:sz w:val="22"/>
          <w:szCs w:val="22"/>
        </w:rPr>
        <w:t>Research Policy</w:t>
      </w:r>
      <w:r w:rsidR="005A4CC7">
        <w:rPr>
          <w:rFonts w:ascii="Arial" w:hAnsi="Arial" w:cs="Arial"/>
          <w:i/>
          <w:noProof/>
          <w:sz w:val="22"/>
          <w:szCs w:val="22"/>
        </w:rPr>
        <w:t>.</w:t>
      </w:r>
      <w:r w:rsidRPr="00286B6E">
        <w:rPr>
          <w:rFonts w:ascii="Arial" w:hAnsi="Arial" w:cs="Arial"/>
          <w:noProof/>
          <w:sz w:val="22"/>
          <w:szCs w:val="22"/>
        </w:rPr>
        <w:t xml:space="preserve"> 29</w:t>
      </w:r>
      <w:r w:rsidRPr="00286B6E">
        <w:rPr>
          <w:rFonts w:ascii="Arial" w:hAnsi="Arial" w:cs="Arial"/>
          <w:b/>
          <w:noProof/>
          <w:sz w:val="22"/>
          <w:szCs w:val="22"/>
        </w:rPr>
        <w:t>,</w:t>
      </w:r>
      <w:r w:rsidRPr="00286B6E">
        <w:rPr>
          <w:rFonts w:ascii="Arial" w:hAnsi="Arial" w:cs="Arial"/>
          <w:noProof/>
          <w:sz w:val="22"/>
          <w:szCs w:val="22"/>
        </w:rPr>
        <w:t xml:space="preserve"> 437-447.</w:t>
      </w:r>
      <w:bookmarkEnd w:id="68"/>
    </w:p>
    <w:p w:rsidR="00286B6E" w:rsidRPr="00286B6E" w:rsidRDefault="00286B6E" w:rsidP="00286B6E">
      <w:pPr>
        <w:spacing w:after="300" w:line="360" w:lineRule="auto"/>
        <w:jc w:val="both"/>
        <w:rPr>
          <w:rFonts w:ascii="Arial" w:hAnsi="Arial" w:cs="Arial"/>
          <w:noProof/>
          <w:sz w:val="22"/>
          <w:szCs w:val="22"/>
        </w:rPr>
      </w:pPr>
      <w:bookmarkStart w:id="69" w:name="_ENREF_67"/>
      <w:r w:rsidRPr="00286B6E">
        <w:rPr>
          <w:rFonts w:ascii="Arial" w:hAnsi="Arial" w:cs="Arial"/>
          <w:noProof/>
          <w:sz w:val="22"/>
          <w:szCs w:val="22"/>
        </w:rPr>
        <w:t xml:space="preserve">Meuleman, M. &amp; De Maeseneire, W. 2012. Do R&amp;D subsidies affect SMEs' access to external financing? </w:t>
      </w:r>
      <w:r w:rsidRPr="00286B6E">
        <w:rPr>
          <w:rFonts w:ascii="Arial" w:hAnsi="Arial" w:cs="Arial"/>
          <w:i/>
          <w:noProof/>
          <w:sz w:val="22"/>
          <w:szCs w:val="22"/>
        </w:rPr>
        <w:t>Research Policy</w:t>
      </w:r>
      <w:r w:rsidR="005A4CC7">
        <w:rPr>
          <w:rFonts w:ascii="Arial" w:hAnsi="Arial" w:cs="Arial"/>
          <w:i/>
          <w:noProof/>
          <w:sz w:val="22"/>
          <w:szCs w:val="22"/>
        </w:rPr>
        <w:t>.</w:t>
      </w:r>
      <w:r w:rsidRPr="00286B6E">
        <w:rPr>
          <w:rFonts w:ascii="Arial" w:hAnsi="Arial" w:cs="Arial"/>
          <w:noProof/>
          <w:sz w:val="22"/>
          <w:szCs w:val="22"/>
        </w:rPr>
        <w:t xml:space="preserve"> 41</w:t>
      </w:r>
      <w:r w:rsidRPr="00286B6E">
        <w:rPr>
          <w:rFonts w:ascii="Arial" w:hAnsi="Arial" w:cs="Arial"/>
          <w:b/>
          <w:noProof/>
          <w:sz w:val="22"/>
          <w:szCs w:val="22"/>
        </w:rPr>
        <w:t>,</w:t>
      </w:r>
      <w:r w:rsidRPr="00286B6E">
        <w:rPr>
          <w:rFonts w:ascii="Arial" w:hAnsi="Arial" w:cs="Arial"/>
          <w:noProof/>
          <w:sz w:val="22"/>
          <w:szCs w:val="22"/>
        </w:rPr>
        <w:t xml:space="preserve"> 580-591.</w:t>
      </w:r>
      <w:bookmarkEnd w:id="69"/>
    </w:p>
    <w:p w:rsidR="00286B6E" w:rsidRPr="00286B6E" w:rsidRDefault="00286B6E" w:rsidP="00286B6E">
      <w:pPr>
        <w:spacing w:after="300" w:line="360" w:lineRule="auto"/>
        <w:jc w:val="both"/>
        <w:rPr>
          <w:rFonts w:ascii="Arial" w:hAnsi="Arial" w:cs="Arial"/>
          <w:noProof/>
          <w:sz w:val="22"/>
          <w:szCs w:val="22"/>
        </w:rPr>
      </w:pPr>
      <w:bookmarkStart w:id="70" w:name="_ENREF_68"/>
      <w:r w:rsidRPr="00286B6E">
        <w:rPr>
          <w:rFonts w:ascii="Arial" w:hAnsi="Arial" w:cs="Arial"/>
          <w:noProof/>
          <w:sz w:val="22"/>
          <w:szCs w:val="22"/>
        </w:rPr>
        <w:lastRenderedPageBreak/>
        <w:t xml:space="preserve">Mugdh, M. &amp; Pilla, S. 2011. A conceptual framework for achieving balance between innovation and resilience in optimizing emergency department operations. </w:t>
      </w:r>
      <w:r w:rsidRPr="00286B6E">
        <w:rPr>
          <w:rFonts w:ascii="Arial" w:hAnsi="Arial" w:cs="Arial"/>
          <w:i/>
          <w:noProof/>
          <w:sz w:val="22"/>
          <w:szCs w:val="22"/>
        </w:rPr>
        <w:t xml:space="preserve">The </w:t>
      </w:r>
      <w:r w:rsidR="005A4CC7" w:rsidRPr="00286B6E">
        <w:rPr>
          <w:rFonts w:ascii="Arial" w:hAnsi="Arial" w:cs="Arial"/>
          <w:i/>
          <w:noProof/>
          <w:sz w:val="22"/>
          <w:szCs w:val="22"/>
        </w:rPr>
        <w:t>Health Care Manager</w:t>
      </w:r>
      <w:r w:rsidR="005A4CC7">
        <w:rPr>
          <w:rFonts w:ascii="Arial" w:hAnsi="Arial" w:cs="Arial"/>
          <w:i/>
          <w:noProof/>
          <w:sz w:val="22"/>
          <w:szCs w:val="22"/>
        </w:rPr>
        <w:t>.</w:t>
      </w:r>
      <w:r w:rsidRPr="00286B6E">
        <w:rPr>
          <w:rFonts w:ascii="Arial" w:hAnsi="Arial" w:cs="Arial"/>
          <w:noProof/>
          <w:sz w:val="22"/>
          <w:szCs w:val="22"/>
        </w:rPr>
        <w:t xml:space="preserve"> 30</w:t>
      </w:r>
      <w:r w:rsidRPr="00286B6E">
        <w:rPr>
          <w:rFonts w:ascii="Arial" w:hAnsi="Arial" w:cs="Arial"/>
          <w:b/>
          <w:noProof/>
          <w:sz w:val="22"/>
          <w:szCs w:val="22"/>
        </w:rPr>
        <w:t>,</w:t>
      </w:r>
      <w:r w:rsidRPr="00286B6E">
        <w:rPr>
          <w:rFonts w:ascii="Arial" w:hAnsi="Arial" w:cs="Arial"/>
          <w:noProof/>
          <w:sz w:val="22"/>
          <w:szCs w:val="22"/>
        </w:rPr>
        <w:t xml:space="preserve"> 352-60.</w:t>
      </w:r>
      <w:bookmarkEnd w:id="70"/>
    </w:p>
    <w:p w:rsidR="00286B6E" w:rsidRPr="00286B6E" w:rsidRDefault="00286B6E" w:rsidP="00286B6E">
      <w:pPr>
        <w:autoSpaceDE w:val="0"/>
        <w:autoSpaceDN w:val="0"/>
        <w:adjustRightInd w:val="0"/>
        <w:spacing w:after="300" w:line="360" w:lineRule="auto"/>
        <w:jc w:val="both"/>
        <w:rPr>
          <w:rFonts w:ascii="Arial" w:hAnsi="Arial" w:cs="Arial"/>
          <w:sz w:val="22"/>
          <w:szCs w:val="22"/>
        </w:rPr>
      </w:pPr>
      <w:bookmarkStart w:id="71" w:name="_ENREF_69"/>
      <w:r w:rsidRPr="00286B6E">
        <w:rPr>
          <w:rFonts w:ascii="Arial" w:hAnsi="Arial" w:cs="Arial"/>
          <w:sz w:val="22"/>
          <w:szCs w:val="22"/>
        </w:rPr>
        <w:t xml:space="preserve">Newstrom, J.W. 1983. </w:t>
      </w:r>
      <w:r w:rsidR="00B75717" w:rsidRPr="00286B6E">
        <w:rPr>
          <w:rFonts w:ascii="Arial" w:hAnsi="Arial" w:cs="Arial"/>
          <w:sz w:val="22"/>
          <w:szCs w:val="22"/>
        </w:rPr>
        <w:t>The management of unlearning: Exploding the ‘‘clean slate’’ fallacy</w:t>
      </w:r>
      <w:r w:rsidRPr="00286B6E">
        <w:rPr>
          <w:rFonts w:ascii="Arial" w:hAnsi="Arial" w:cs="Arial"/>
          <w:sz w:val="22"/>
          <w:szCs w:val="22"/>
        </w:rPr>
        <w:t xml:space="preserve">. </w:t>
      </w:r>
      <w:r w:rsidRPr="005A4CC7">
        <w:rPr>
          <w:rFonts w:ascii="Arial" w:hAnsi="Arial" w:cs="Arial"/>
          <w:i/>
          <w:iCs/>
          <w:sz w:val="22"/>
          <w:szCs w:val="22"/>
        </w:rPr>
        <w:t>Training and Development Journal</w:t>
      </w:r>
      <w:r w:rsidR="005A4CC7">
        <w:rPr>
          <w:rFonts w:ascii="Arial" w:hAnsi="Arial" w:cs="Arial"/>
          <w:iCs/>
          <w:sz w:val="22"/>
          <w:szCs w:val="22"/>
        </w:rPr>
        <w:t>.</w:t>
      </w:r>
      <w:r w:rsidRPr="00286B6E">
        <w:rPr>
          <w:rFonts w:ascii="Arial" w:hAnsi="Arial" w:cs="Arial"/>
          <w:iCs/>
          <w:sz w:val="22"/>
          <w:szCs w:val="22"/>
        </w:rPr>
        <w:t xml:space="preserve"> </w:t>
      </w:r>
      <w:r w:rsidRPr="00286B6E">
        <w:rPr>
          <w:rFonts w:ascii="Arial" w:hAnsi="Arial" w:cs="Arial"/>
          <w:sz w:val="22"/>
          <w:szCs w:val="22"/>
        </w:rPr>
        <w:t>37, 8, 36.</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Norrman, C. &amp; Bager-Sjogren, L. 2010. Entrepreneurship policy to support new innovative ventures: Is it effective? </w:t>
      </w:r>
      <w:r w:rsidRPr="00286B6E">
        <w:rPr>
          <w:rFonts w:ascii="Arial" w:hAnsi="Arial" w:cs="Arial"/>
          <w:i/>
          <w:noProof/>
          <w:sz w:val="22"/>
          <w:szCs w:val="22"/>
        </w:rPr>
        <w:t xml:space="preserve">International </w:t>
      </w:r>
      <w:r w:rsidR="005A4CC7" w:rsidRPr="00286B6E">
        <w:rPr>
          <w:rFonts w:ascii="Arial" w:hAnsi="Arial" w:cs="Arial"/>
          <w:i/>
          <w:noProof/>
          <w:sz w:val="22"/>
          <w:szCs w:val="22"/>
        </w:rPr>
        <w:t>Small Business Journal</w:t>
      </w:r>
      <w:r w:rsidR="005A4CC7">
        <w:rPr>
          <w:rFonts w:ascii="Arial" w:hAnsi="Arial" w:cs="Arial"/>
          <w:i/>
          <w:noProof/>
          <w:sz w:val="22"/>
          <w:szCs w:val="22"/>
        </w:rPr>
        <w:t>.</w:t>
      </w:r>
      <w:r w:rsidRPr="00286B6E">
        <w:rPr>
          <w:rFonts w:ascii="Arial" w:hAnsi="Arial" w:cs="Arial"/>
          <w:noProof/>
          <w:sz w:val="22"/>
          <w:szCs w:val="22"/>
        </w:rPr>
        <w:t xml:space="preserve"> 28</w:t>
      </w:r>
      <w:r w:rsidRPr="00286B6E">
        <w:rPr>
          <w:rFonts w:ascii="Arial" w:hAnsi="Arial" w:cs="Arial"/>
          <w:b/>
          <w:noProof/>
          <w:sz w:val="22"/>
          <w:szCs w:val="22"/>
        </w:rPr>
        <w:t>,</w:t>
      </w:r>
      <w:r w:rsidRPr="00286B6E">
        <w:rPr>
          <w:rFonts w:ascii="Arial" w:hAnsi="Arial" w:cs="Arial"/>
          <w:noProof/>
          <w:sz w:val="22"/>
          <w:szCs w:val="22"/>
        </w:rPr>
        <w:t xml:space="preserve"> 602-619.</w:t>
      </w:r>
      <w:bookmarkEnd w:id="71"/>
    </w:p>
    <w:p w:rsidR="00286B6E" w:rsidRPr="00286B6E" w:rsidRDefault="00286B6E" w:rsidP="00286B6E">
      <w:pPr>
        <w:spacing w:after="300" w:line="360" w:lineRule="auto"/>
        <w:jc w:val="both"/>
        <w:rPr>
          <w:rFonts w:ascii="Arial" w:hAnsi="Arial" w:cs="Arial"/>
          <w:noProof/>
          <w:sz w:val="22"/>
          <w:szCs w:val="22"/>
        </w:rPr>
      </w:pPr>
      <w:bookmarkStart w:id="72" w:name="_ENREF_70"/>
      <w:r w:rsidRPr="00286B6E">
        <w:rPr>
          <w:rFonts w:ascii="Arial" w:hAnsi="Arial" w:cs="Arial"/>
          <w:noProof/>
          <w:sz w:val="22"/>
          <w:szCs w:val="22"/>
        </w:rPr>
        <w:t xml:space="preserve">O'Malley, E., Roper, S. &amp; Hewitt-Dundas, N. 2008. High growth and innovation with low R&amp;D: The case of Ireland. </w:t>
      </w:r>
      <w:r w:rsidRPr="009A376B">
        <w:rPr>
          <w:rFonts w:ascii="Arial" w:hAnsi="Arial" w:cs="Arial"/>
          <w:noProof/>
          <w:sz w:val="22"/>
          <w:szCs w:val="22"/>
        </w:rPr>
        <w:t>In:</w:t>
      </w:r>
      <w:r w:rsidR="009A376B">
        <w:rPr>
          <w:rFonts w:ascii="Arial" w:hAnsi="Arial" w:cs="Arial"/>
          <w:noProof/>
          <w:sz w:val="22"/>
          <w:szCs w:val="22"/>
        </w:rPr>
        <w:t xml:space="preserve"> Edquist, C. &amp; Hommen, L.</w:t>
      </w:r>
      <w:r w:rsidR="00874D9F">
        <w:rPr>
          <w:rFonts w:ascii="Arial" w:hAnsi="Arial" w:cs="Arial"/>
          <w:noProof/>
          <w:sz w:val="22"/>
          <w:szCs w:val="22"/>
        </w:rPr>
        <w:t xml:space="preserve"> eds.</w:t>
      </w:r>
      <w:r w:rsidRPr="00286B6E">
        <w:rPr>
          <w:rFonts w:ascii="Arial" w:hAnsi="Arial" w:cs="Arial"/>
          <w:noProof/>
          <w:sz w:val="22"/>
          <w:szCs w:val="22"/>
        </w:rPr>
        <w:t xml:space="preserve"> </w:t>
      </w:r>
      <w:r w:rsidR="00B75717">
        <w:rPr>
          <w:rFonts w:ascii="Arial" w:hAnsi="Arial" w:cs="Arial"/>
          <w:i/>
          <w:noProof/>
          <w:sz w:val="22"/>
          <w:szCs w:val="22"/>
        </w:rPr>
        <w:t>S</w:t>
      </w:r>
      <w:r w:rsidR="00B75717" w:rsidRPr="00286B6E">
        <w:rPr>
          <w:rFonts w:ascii="Arial" w:hAnsi="Arial" w:cs="Arial"/>
          <w:i/>
          <w:noProof/>
          <w:sz w:val="22"/>
          <w:szCs w:val="22"/>
        </w:rPr>
        <w:t xml:space="preserve">mall </w:t>
      </w:r>
      <w:r w:rsidR="00B75717">
        <w:rPr>
          <w:rFonts w:ascii="Arial" w:hAnsi="Arial" w:cs="Arial"/>
          <w:i/>
          <w:noProof/>
          <w:sz w:val="22"/>
          <w:szCs w:val="22"/>
        </w:rPr>
        <w:t xml:space="preserve">country </w:t>
      </w:r>
      <w:r w:rsidR="00B75717" w:rsidRPr="00286B6E">
        <w:rPr>
          <w:rFonts w:ascii="Arial" w:hAnsi="Arial" w:cs="Arial"/>
          <w:i/>
          <w:noProof/>
          <w:sz w:val="22"/>
          <w:szCs w:val="22"/>
        </w:rPr>
        <w:t>innovation system</w:t>
      </w:r>
      <w:r w:rsidR="00B75717">
        <w:rPr>
          <w:rFonts w:ascii="Arial" w:hAnsi="Arial" w:cs="Arial"/>
          <w:i/>
          <w:noProof/>
          <w:sz w:val="22"/>
          <w:szCs w:val="22"/>
        </w:rPr>
        <w:t xml:space="preserve">s: </w:t>
      </w:r>
      <w:r w:rsidR="00B75717" w:rsidRPr="00286B6E">
        <w:rPr>
          <w:rFonts w:ascii="Arial" w:hAnsi="Arial" w:cs="Arial"/>
          <w:i/>
          <w:noProof/>
          <w:sz w:val="22"/>
          <w:szCs w:val="22"/>
        </w:rPr>
        <w:t xml:space="preserve">globalization, change and policy in </w:t>
      </w:r>
      <w:r w:rsidR="00B75717">
        <w:rPr>
          <w:rFonts w:ascii="Arial" w:hAnsi="Arial" w:cs="Arial"/>
          <w:i/>
          <w:noProof/>
          <w:sz w:val="22"/>
          <w:szCs w:val="22"/>
        </w:rPr>
        <w:t>A</w:t>
      </w:r>
      <w:r w:rsidR="00B75717" w:rsidRPr="00286B6E">
        <w:rPr>
          <w:rFonts w:ascii="Arial" w:hAnsi="Arial" w:cs="Arial"/>
          <w:i/>
          <w:noProof/>
          <w:sz w:val="22"/>
          <w:szCs w:val="22"/>
        </w:rPr>
        <w:t xml:space="preserve">sia and </w:t>
      </w:r>
      <w:r w:rsidR="00B75717">
        <w:rPr>
          <w:rFonts w:ascii="Arial" w:hAnsi="Arial" w:cs="Arial"/>
          <w:i/>
          <w:noProof/>
          <w:sz w:val="22"/>
          <w:szCs w:val="22"/>
        </w:rPr>
        <w:t>E</w:t>
      </w:r>
      <w:r w:rsidR="00B75717" w:rsidRPr="00286B6E">
        <w:rPr>
          <w:rFonts w:ascii="Arial" w:hAnsi="Arial" w:cs="Arial"/>
          <w:i/>
          <w:noProof/>
          <w:sz w:val="22"/>
          <w:szCs w:val="22"/>
        </w:rPr>
        <w:t>urope</w:t>
      </w:r>
      <w:r w:rsidRPr="00286B6E">
        <w:rPr>
          <w:rFonts w:ascii="Arial" w:hAnsi="Arial" w:cs="Arial"/>
          <w:i/>
          <w:noProof/>
          <w:sz w:val="22"/>
          <w:szCs w:val="22"/>
        </w:rPr>
        <w:t>.</w:t>
      </w:r>
      <w:r w:rsidRPr="00286B6E">
        <w:rPr>
          <w:rFonts w:ascii="Arial" w:hAnsi="Arial" w:cs="Arial"/>
          <w:noProof/>
          <w:sz w:val="22"/>
          <w:szCs w:val="22"/>
        </w:rPr>
        <w:t xml:space="preserve"> </w:t>
      </w:r>
      <w:r w:rsidR="009A376B">
        <w:rPr>
          <w:rFonts w:ascii="Arial" w:hAnsi="Arial" w:cs="Arial"/>
          <w:noProof/>
          <w:sz w:val="22"/>
          <w:szCs w:val="22"/>
        </w:rPr>
        <w:t xml:space="preserve">Edward </w:t>
      </w:r>
      <w:r w:rsidRPr="00286B6E">
        <w:rPr>
          <w:rFonts w:ascii="Arial" w:hAnsi="Arial" w:cs="Arial"/>
          <w:noProof/>
          <w:sz w:val="22"/>
          <w:szCs w:val="22"/>
        </w:rPr>
        <w:t>Elgar</w:t>
      </w:r>
      <w:r w:rsidR="009A376B">
        <w:rPr>
          <w:rFonts w:ascii="Arial" w:hAnsi="Arial" w:cs="Arial"/>
          <w:noProof/>
          <w:sz w:val="22"/>
          <w:szCs w:val="22"/>
        </w:rPr>
        <w:t xml:space="preserve"> Publishers</w:t>
      </w:r>
      <w:r w:rsidRPr="00286B6E">
        <w:rPr>
          <w:rFonts w:ascii="Arial" w:hAnsi="Arial" w:cs="Arial"/>
          <w:noProof/>
          <w:sz w:val="22"/>
          <w:szCs w:val="22"/>
        </w:rPr>
        <w:t>.</w:t>
      </w:r>
      <w:bookmarkEnd w:id="72"/>
    </w:p>
    <w:p w:rsidR="00933DA9" w:rsidRPr="00286B6E" w:rsidRDefault="00933DA9" w:rsidP="00933DA9">
      <w:pPr>
        <w:spacing w:after="300" w:line="360" w:lineRule="auto"/>
        <w:jc w:val="both"/>
        <w:rPr>
          <w:rFonts w:ascii="Arial" w:hAnsi="Arial" w:cs="Arial"/>
          <w:noProof/>
          <w:sz w:val="22"/>
          <w:szCs w:val="22"/>
        </w:rPr>
      </w:pPr>
      <w:bookmarkStart w:id="73" w:name="_ENREF_71"/>
      <w:r>
        <w:rPr>
          <w:rFonts w:ascii="Arial" w:hAnsi="Arial" w:cs="Arial"/>
          <w:noProof/>
          <w:sz w:val="22"/>
          <w:szCs w:val="22"/>
        </w:rPr>
        <w:t>Georghiou, L. &amp; Clarysse,  B.</w:t>
      </w:r>
      <w:r w:rsidR="00286B6E" w:rsidRPr="00286B6E">
        <w:rPr>
          <w:rFonts w:ascii="Arial" w:hAnsi="Arial" w:cs="Arial"/>
          <w:noProof/>
          <w:sz w:val="22"/>
          <w:szCs w:val="22"/>
        </w:rPr>
        <w:t xml:space="preserve"> 2006. </w:t>
      </w:r>
      <w:r w:rsidRPr="00286B6E">
        <w:rPr>
          <w:rFonts w:ascii="Arial" w:hAnsi="Arial" w:cs="Arial"/>
          <w:noProof/>
          <w:sz w:val="22"/>
          <w:szCs w:val="22"/>
        </w:rPr>
        <w:t xml:space="preserve">Introduction and Synthesis. </w:t>
      </w:r>
      <w:r w:rsidRPr="00B75717">
        <w:rPr>
          <w:rFonts w:ascii="Arial" w:hAnsi="Arial" w:cs="Arial"/>
          <w:noProof/>
          <w:sz w:val="22"/>
          <w:szCs w:val="22"/>
        </w:rPr>
        <w:t>In</w:t>
      </w:r>
      <w:r w:rsidRPr="00286B6E">
        <w:rPr>
          <w:rFonts w:ascii="Arial" w:hAnsi="Arial" w:cs="Arial"/>
          <w:i/>
          <w:noProof/>
          <w:sz w:val="22"/>
          <w:szCs w:val="22"/>
        </w:rPr>
        <w:t>:</w:t>
      </w:r>
      <w:r w:rsidRPr="00286B6E">
        <w:rPr>
          <w:rFonts w:ascii="Arial" w:hAnsi="Arial" w:cs="Arial"/>
          <w:noProof/>
          <w:sz w:val="22"/>
          <w:szCs w:val="22"/>
        </w:rPr>
        <w:t xml:space="preserve"> </w:t>
      </w:r>
      <w:r w:rsidRPr="00933DA9">
        <w:rPr>
          <w:rFonts w:ascii="Arial" w:hAnsi="Arial" w:cs="Arial"/>
          <w:i/>
          <w:noProof/>
          <w:sz w:val="22"/>
          <w:szCs w:val="22"/>
        </w:rPr>
        <w:t>Government R&amp;D funding and company behaviour: Measuring Behavioural Additionality</w:t>
      </w:r>
      <w:r>
        <w:rPr>
          <w:rFonts w:ascii="Arial" w:hAnsi="Arial" w:cs="Arial"/>
          <w:noProof/>
          <w:sz w:val="22"/>
          <w:szCs w:val="22"/>
        </w:rPr>
        <w:t xml:space="preserve">. </w:t>
      </w:r>
      <w:bookmarkEnd w:id="73"/>
      <w:r>
        <w:rPr>
          <w:rFonts w:ascii="Arial" w:hAnsi="Arial" w:cs="Arial"/>
          <w:noProof/>
          <w:sz w:val="22"/>
          <w:szCs w:val="22"/>
        </w:rPr>
        <w:t>OECD.</w:t>
      </w:r>
    </w:p>
    <w:p w:rsidR="00286B6E" w:rsidRPr="00286B6E" w:rsidRDefault="00286B6E" w:rsidP="00286B6E">
      <w:pPr>
        <w:spacing w:after="300" w:line="360" w:lineRule="auto"/>
        <w:jc w:val="both"/>
        <w:rPr>
          <w:rFonts w:ascii="Arial" w:hAnsi="Arial" w:cs="Arial"/>
          <w:noProof/>
          <w:sz w:val="22"/>
          <w:szCs w:val="22"/>
        </w:rPr>
      </w:pPr>
      <w:bookmarkStart w:id="74" w:name="_ENREF_72"/>
      <w:r w:rsidRPr="00286B6E">
        <w:rPr>
          <w:rFonts w:ascii="Arial" w:hAnsi="Arial" w:cs="Arial"/>
          <w:noProof/>
          <w:sz w:val="22"/>
          <w:szCs w:val="22"/>
        </w:rPr>
        <w:t xml:space="preserve">Pasche, M. &amp; Magnusson, M. 2011. Continuous innovation and improvement of product platforms. </w:t>
      </w:r>
      <w:r w:rsidRPr="00286B6E">
        <w:rPr>
          <w:rFonts w:ascii="Arial" w:hAnsi="Arial" w:cs="Arial"/>
          <w:i/>
          <w:noProof/>
          <w:sz w:val="22"/>
          <w:szCs w:val="22"/>
        </w:rPr>
        <w:t xml:space="preserve">International Journal </w:t>
      </w:r>
      <w:r w:rsidR="00FB733A">
        <w:rPr>
          <w:rFonts w:ascii="Arial" w:hAnsi="Arial" w:cs="Arial"/>
          <w:i/>
          <w:noProof/>
          <w:sz w:val="22"/>
          <w:szCs w:val="22"/>
        </w:rPr>
        <w:t>o</w:t>
      </w:r>
      <w:r w:rsidRPr="00286B6E">
        <w:rPr>
          <w:rFonts w:ascii="Arial" w:hAnsi="Arial" w:cs="Arial"/>
          <w:i/>
          <w:noProof/>
          <w:sz w:val="22"/>
          <w:szCs w:val="22"/>
        </w:rPr>
        <w:t>f Technology Management</w:t>
      </w:r>
      <w:r w:rsidR="005A4CC7">
        <w:rPr>
          <w:rFonts w:ascii="Arial" w:hAnsi="Arial" w:cs="Arial"/>
          <w:i/>
          <w:noProof/>
          <w:sz w:val="22"/>
          <w:szCs w:val="22"/>
        </w:rPr>
        <w:t>.</w:t>
      </w:r>
      <w:r w:rsidRPr="00286B6E">
        <w:rPr>
          <w:rFonts w:ascii="Arial" w:hAnsi="Arial" w:cs="Arial"/>
          <w:noProof/>
          <w:sz w:val="22"/>
          <w:szCs w:val="22"/>
        </w:rPr>
        <w:t xml:space="preserve"> 56</w:t>
      </w:r>
      <w:r w:rsidRPr="00286B6E">
        <w:rPr>
          <w:rFonts w:ascii="Arial" w:hAnsi="Arial" w:cs="Arial"/>
          <w:b/>
          <w:noProof/>
          <w:sz w:val="22"/>
          <w:szCs w:val="22"/>
        </w:rPr>
        <w:t>,</w:t>
      </w:r>
      <w:r w:rsidRPr="00286B6E">
        <w:rPr>
          <w:rFonts w:ascii="Arial" w:hAnsi="Arial" w:cs="Arial"/>
          <w:noProof/>
          <w:sz w:val="22"/>
          <w:szCs w:val="22"/>
        </w:rPr>
        <w:t xml:space="preserve"> 256-271.</w:t>
      </w:r>
      <w:bookmarkEnd w:id="74"/>
    </w:p>
    <w:p w:rsidR="00286B6E" w:rsidRPr="00286B6E" w:rsidRDefault="00286B6E" w:rsidP="00286B6E">
      <w:pPr>
        <w:spacing w:after="300" w:line="360" w:lineRule="auto"/>
        <w:jc w:val="both"/>
        <w:rPr>
          <w:rFonts w:ascii="Arial" w:hAnsi="Arial" w:cs="Arial"/>
          <w:noProof/>
          <w:sz w:val="22"/>
          <w:szCs w:val="22"/>
        </w:rPr>
      </w:pPr>
      <w:bookmarkStart w:id="75" w:name="_ENREF_73"/>
      <w:r w:rsidRPr="00286B6E">
        <w:rPr>
          <w:rFonts w:ascii="Arial" w:hAnsi="Arial" w:cs="Arial"/>
          <w:noProof/>
          <w:sz w:val="22"/>
          <w:szCs w:val="22"/>
        </w:rPr>
        <w:t xml:space="preserve">Powell, W. W. 1998. </w:t>
      </w:r>
      <w:r w:rsidR="00FB733A">
        <w:rPr>
          <w:rFonts w:ascii="Arial" w:hAnsi="Arial" w:cs="Arial"/>
          <w:noProof/>
          <w:sz w:val="22"/>
          <w:szCs w:val="22"/>
        </w:rPr>
        <w:t>L</w:t>
      </w:r>
      <w:r w:rsidR="00FB733A" w:rsidRPr="00286B6E">
        <w:rPr>
          <w:rFonts w:ascii="Arial" w:hAnsi="Arial" w:cs="Arial"/>
          <w:noProof/>
          <w:sz w:val="22"/>
          <w:szCs w:val="22"/>
        </w:rPr>
        <w:t xml:space="preserve">earning from collaboration: </w:t>
      </w:r>
      <w:r w:rsidR="00FB733A">
        <w:rPr>
          <w:rFonts w:ascii="Arial" w:hAnsi="Arial" w:cs="Arial"/>
          <w:noProof/>
          <w:sz w:val="22"/>
          <w:szCs w:val="22"/>
        </w:rPr>
        <w:t>K</w:t>
      </w:r>
      <w:r w:rsidR="00FB733A" w:rsidRPr="00286B6E">
        <w:rPr>
          <w:rFonts w:ascii="Arial" w:hAnsi="Arial" w:cs="Arial"/>
          <w:noProof/>
          <w:sz w:val="22"/>
          <w:szCs w:val="22"/>
        </w:rPr>
        <w:t>nowledge and networks in the biotechnology and pharmaceutical industries</w:t>
      </w:r>
      <w:r w:rsidRPr="00286B6E">
        <w:rPr>
          <w:rFonts w:ascii="Arial" w:hAnsi="Arial" w:cs="Arial"/>
          <w:noProof/>
          <w:sz w:val="22"/>
          <w:szCs w:val="22"/>
        </w:rPr>
        <w:t xml:space="preserve">. </w:t>
      </w:r>
      <w:r w:rsidRPr="00286B6E">
        <w:rPr>
          <w:rFonts w:ascii="Arial" w:hAnsi="Arial" w:cs="Arial"/>
          <w:i/>
          <w:noProof/>
          <w:sz w:val="22"/>
          <w:szCs w:val="22"/>
        </w:rPr>
        <w:t>California Management Review</w:t>
      </w:r>
      <w:r w:rsidR="005A4CC7">
        <w:rPr>
          <w:rFonts w:ascii="Arial" w:hAnsi="Arial" w:cs="Arial"/>
          <w:i/>
          <w:noProof/>
          <w:sz w:val="22"/>
          <w:szCs w:val="22"/>
        </w:rPr>
        <w:t>.</w:t>
      </w:r>
      <w:r w:rsidRPr="00286B6E">
        <w:rPr>
          <w:rFonts w:ascii="Arial" w:hAnsi="Arial" w:cs="Arial"/>
          <w:noProof/>
          <w:sz w:val="22"/>
          <w:szCs w:val="22"/>
        </w:rPr>
        <w:t xml:space="preserve"> 40</w:t>
      </w:r>
      <w:r w:rsidRPr="00286B6E">
        <w:rPr>
          <w:rFonts w:ascii="Arial" w:hAnsi="Arial" w:cs="Arial"/>
          <w:b/>
          <w:noProof/>
          <w:sz w:val="22"/>
          <w:szCs w:val="22"/>
        </w:rPr>
        <w:t>,</w:t>
      </w:r>
      <w:r w:rsidRPr="00286B6E">
        <w:rPr>
          <w:rFonts w:ascii="Arial" w:hAnsi="Arial" w:cs="Arial"/>
          <w:noProof/>
          <w:sz w:val="22"/>
          <w:szCs w:val="22"/>
        </w:rPr>
        <w:t xml:space="preserve"> 228-240.</w:t>
      </w:r>
      <w:bookmarkEnd w:id="75"/>
    </w:p>
    <w:p w:rsidR="00286B6E" w:rsidRPr="00286B6E" w:rsidRDefault="00286B6E" w:rsidP="00286B6E">
      <w:pPr>
        <w:autoSpaceDE w:val="0"/>
        <w:autoSpaceDN w:val="0"/>
        <w:adjustRightInd w:val="0"/>
        <w:spacing w:after="300" w:line="360" w:lineRule="auto"/>
        <w:jc w:val="both"/>
        <w:rPr>
          <w:rFonts w:ascii="Arial" w:hAnsi="Arial" w:cs="Arial"/>
          <w:sz w:val="22"/>
          <w:szCs w:val="22"/>
        </w:rPr>
      </w:pPr>
      <w:bookmarkStart w:id="76" w:name="_ENREF_74"/>
      <w:r w:rsidRPr="00286B6E">
        <w:rPr>
          <w:rFonts w:ascii="Arial" w:hAnsi="Arial" w:cs="Arial"/>
          <w:sz w:val="22"/>
          <w:szCs w:val="22"/>
        </w:rPr>
        <w:t xml:space="preserve">Powell, W., Kogut, K. &amp; Smith-Doerr, L. 1996. Interorganizational collaboration and the locus of innovation: Networks of learning in biotechnology. </w:t>
      </w:r>
      <w:r w:rsidRPr="00FB733A">
        <w:rPr>
          <w:rFonts w:ascii="Arial" w:hAnsi="Arial" w:cs="Arial"/>
          <w:i/>
          <w:sz w:val="22"/>
          <w:szCs w:val="22"/>
        </w:rPr>
        <w:t>Administrative Science Quarterly</w:t>
      </w:r>
      <w:r w:rsidR="005A4CC7">
        <w:rPr>
          <w:rFonts w:ascii="Arial" w:hAnsi="Arial" w:cs="Arial"/>
          <w:sz w:val="22"/>
          <w:szCs w:val="22"/>
        </w:rPr>
        <w:t>.</w:t>
      </w:r>
      <w:r w:rsidRPr="00286B6E">
        <w:rPr>
          <w:rFonts w:ascii="Arial" w:hAnsi="Arial" w:cs="Arial"/>
          <w:sz w:val="22"/>
          <w:szCs w:val="22"/>
        </w:rPr>
        <w:t xml:space="preserve"> 41, 116-145.</w:t>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t xml:space="preserve">Raymond, W., Mohnen, P., Palm, F. &amp; van der Loeff, S. S. 2010. Persistence of innovation in Dutch manufacturing: Is it spurious? </w:t>
      </w:r>
      <w:r w:rsidRPr="00FB733A">
        <w:rPr>
          <w:rFonts w:ascii="Arial" w:hAnsi="Arial" w:cs="Arial"/>
          <w:i/>
          <w:noProof/>
          <w:sz w:val="22"/>
          <w:szCs w:val="22"/>
        </w:rPr>
        <w:t>Review of Economics and Statistics</w:t>
      </w:r>
      <w:r w:rsidR="005A4CC7">
        <w:rPr>
          <w:rFonts w:ascii="Arial" w:hAnsi="Arial" w:cs="Arial"/>
          <w:i/>
          <w:noProof/>
          <w:sz w:val="22"/>
          <w:szCs w:val="22"/>
        </w:rPr>
        <w:t>.</w:t>
      </w:r>
      <w:r w:rsidRPr="00286B6E">
        <w:rPr>
          <w:rFonts w:ascii="Arial" w:hAnsi="Arial" w:cs="Arial"/>
          <w:noProof/>
          <w:sz w:val="22"/>
          <w:szCs w:val="22"/>
        </w:rPr>
        <w:t xml:space="preserve"> 92</w:t>
      </w:r>
      <w:r w:rsidRPr="00286B6E">
        <w:rPr>
          <w:rFonts w:ascii="Arial" w:hAnsi="Arial" w:cs="Arial"/>
          <w:b/>
          <w:noProof/>
          <w:sz w:val="22"/>
          <w:szCs w:val="22"/>
        </w:rPr>
        <w:t>,</w:t>
      </w:r>
      <w:r w:rsidRPr="00286B6E">
        <w:rPr>
          <w:rFonts w:ascii="Arial" w:hAnsi="Arial" w:cs="Arial"/>
          <w:noProof/>
          <w:sz w:val="22"/>
          <w:szCs w:val="22"/>
        </w:rPr>
        <w:t xml:space="preserve"> 495-504.</w:t>
      </w:r>
      <w:bookmarkEnd w:id="76"/>
    </w:p>
    <w:p w:rsidR="00286B6E" w:rsidRPr="00286B6E" w:rsidRDefault="00286B6E" w:rsidP="00286B6E">
      <w:pPr>
        <w:spacing w:after="300" w:line="360" w:lineRule="auto"/>
        <w:jc w:val="both"/>
        <w:rPr>
          <w:rFonts w:ascii="Arial" w:hAnsi="Arial" w:cs="Arial"/>
          <w:noProof/>
          <w:sz w:val="22"/>
          <w:szCs w:val="22"/>
        </w:rPr>
      </w:pPr>
      <w:bookmarkStart w:id="77" w:name="_ENREF_75"/>
      <w:r w:rsidRPr="00286B6E">
        <w:rPr>
          <w:rFonts w:ascii="Arial" w:hAnsi="Arial" w:cs="Arial"/>
          <w:noProof/>
          <w:sz w:val="22"/>
          <w:szCs w:val="22"/>
        </w:rPr>
        <w:lastRenderedPageBreak/>
        <w:t xml:space="preserve">Reiner, C. 2011. Evaluating innovation policies by chance? The case for randomised R&amp;D-programme evaluation. </w:t>
      </w:r>
      <w:r w:rsidRPr="00286B6E">
        <w:rPr>
          <w:rFonts w:ascii="Arial" w:hAnsi="Arial" w:cs="Arial"/>
          <w:i/>
          <w:noProof/>
          <w:sz w:val="22"/>
          <w:szCs w:val="22"/>
        </w:rPr>
        <w:t>Plattform - Forschungs- und Technologieevaluierung</w:t>
      </w:r>
      <w:r w:rsidR="005A4CC7">
        <w:rPr>
          <w:rFonts w:ascii="Arial" w:hAnsi="Arial" w:cs="Arial"/>
          <w:i/>
          <w:noProof/>
          <w:sz w:val="22"/>
          <w:szCs w:val="22"/>
        </w:rPr>
        <w:t>.</w:t>
      </w:r>
      <w:r w:rsidRPr="00286B6E">
        <w:rPr>
          <w:rFonts w:ascii="Arial" w:hAnsi="Arial" w:cs="Arial"/>
          <w:noProof/>
          <w:sz w:val="22"/>
          <w:szCs w:val="22"/>
        </w:rPr>
        <w:t xml:space="preserve"> 37</w:t>
      </w:r>
      <w:r w:rsidRPr="00286B6E">
        <w:rPr>
          <w:rFonts w:ascii="Arial" w:hAnsi="Arial" w:cs="Arial"/>
          <w:b/>
          <w:noProof/>
          <w:sz w:val="22"/>
          <w:szCs w:val="22"/>
        </w:rPr>
        <w:t>,</w:t>
      </w:r>
      <w:r w:rsidRPr="00286B6E">
        <w:rPr>
          <w:rFonts w:ascii="Arial" w:hAnsi="Arial" w:cs="Arial"/>
          <w:noProof/>
          <w:sz w:val="22"/>
          <w:szCs w:val="22"/>
        </w:rPr>
        <w:t xml:space="preserve"> 15-28.</w:t>
      </w:r>
      <w:bookmarkEnd w:id="77"/>
    </w:p>
    <w:p w:rsidR="00286B6E" w:rsidRPr="00286B6E" w:rsidRDefault="00286B6E" w:rsidP="00286B6E">
      <w:pPr>
        <w:spacing w:after="300" w:line="360" w:lineRule="auto"/>
        <w:jc w:val="both"/>
        <w:rPr>
          <w:rFonts w:ascii="Arial" w:hAnsi="Arial" w:cs="Arial"/>
          <w:noProof/>
          <w:sz w:val="22"/>
          <w:szCs w:val="22"/>
        </w:rPr>
      </w:pPr>
      <w:bookmarkStart w:id="78" w:name="_ENREF_78"/>
      <w:r w:rsidRPr="00286B6E">
        <w:rPr>
          <w:rFonts w:ascii="Arial" w:hAnsi="Arial" w:cs="Arial"/>
          <w:noProof/>
          <w:sz w:val="22"/>
          <w:szCs w:val="22"/>
        </w:rPr>
        <w:t xml:space="preserve">Roper, S. 1998. </w:t>
      </w:r>
      <w:r w:rsidR="00FB733A">
        <w:rPr>
          <w:rFonts w:ascii="Arial" w:hAnsi="Arial" w:cs="Arial"/>
          <w:noProof/>
          <w:sz w:val="22"/>
          <w:szCs w:val="22"/>
        </w:rPr>
        <w:t>P</w:t>
      </w:r>
      <w:r w:rsidR="00FB733A" w:rsidRPr="00286B6E">
        <w:rPr>
          <w:rFonts w:ascii="Arial" w:hAnsi="Arial" w:cs="Arial"/>
          <w:noProof/>
          <w:sz w:val="22"/>
          <w:szCs w:val="22"/>
        </w:rPr>
        <w:t>ublic support for near-market R&amp;D: the Northern Ireland experience</w:t>
      </w:r>
      <w:r w:rsidR="00FB733A">
        <w:rPr>
          <w:rFonts w:ascii="Arial" w:hAnsi="Arial" w:cs="Arial"/>
          <w:noProof/>
          <w:sz w:val="22"/>
          <w:szCs w:val="22"/>
        </w:rPr>
        <w:t>.</w:t>
      </w:r>
      <w:r w:rsidRPr="00286B6E">
        <w:rPr>
          <w:rFonts w:ascii="Arial" w:hAnsi="Arial" w:cs="Arial"/>
          <w:noProof/>
          <w:sz w:val="22"/>
          <w:szCs w:val="22"/>
        </w:rPr>
        <w:t xml:space="preserve"> </w:t>
      </w:r>
      <w:r w:rsidRPr="00286B6E">
        <w:rPr>
          <w:rFonts w:ascii="Arial" w:hAnsi="Arial" w:cs="Arial"/>
          <w:i/>
          <w:noProof/>
          <w:sz w:val="22"/>
          <w:szCs w:val="22"/>
        </w:rPr>
        <w:t>Regional Studies</w:t>
      </w:r>
      <w:r w:rsidR="005A4CC7">
        <w:rPr>
          <w:rFonts w:ascii="Arial" w:hAnsi="Arial" w:cs="Arial"/>
          <w:i/>
          <w:noProof/>
          <w:sz w:val="22"/>
          <w:szCs w:val="22"/>
        </w:rPr>
        <w:t>.</w:t>
      </w:r>
      <w:r w:rsidRPr="00286B6E">
        <w:rPr>
          <w:rFonts w:ascii="Arial" w:hAnsi="Arial" w:cs="Arial"/>
          <w:noProof/>
          <w:sz w:val="22"/>
          <w:szCs w:val="22"/>
        </w:rPr>
        <w:t xml:space="preserve"> 32</w:t>
      </w:r>
      <w:r w:rsidRPr="00286B6E">
        <w:rPr>
          <w:rFonts w:ascii="Arial" w:hAnsi="Arial" w:cs="Arial"/>
          <w:b/>
          <w:noProof/>
          <w:sz w:val="22"/>
          <w:szCs w:val="22"/>
        </w:rPr>
        <w:t>,</w:t>
      </w:r>
      <w:r w:rsidRPr="00286B6E">
        <w:rPr>
          <w:rFonts w:ascii="Arial" w:hAnsi="Arial" w:cs="Arial"/>
          <w:noProof/>
          <w:sz w:val="22"/>
          <w:szCs w:val="22"/>
        </w:rPr>
        <w:t xml:space="preserve"> 295-299.</w:t>
      </w:r>
      <w:bookmarkEnd w:id="78"/>
    </w:p>
    <w:p w:rsidR="00286B6E" w:rsidRPr="00286B6E" w:rsidRDefault="00286B6E" w:rsidP="00286B6E">
      <w:pPr>
        <w:spacing w:after="300" w:line="360" w:lineRule="auto"/>
        <w:jc w:val="both"/>
        <w:rPr>
          <w:rFonts w:ascii="Arial" w:hAnsi="Arial" w:cs="Arial"/>
          <w:noProof/>
          <w:sz w:val="22"/>
          <w:szCs w:val="22"/>
        </w:rPr>
      </w:pPr>
      <w:bookmarkStart w:id="79" w:name="_ENREF_79"/>
      <w:r w:rsidRPr="00286B6E">
        <w:rPr>
          <w:rFonts w:ascii="Arial" w:hAnsi="Arial" w:cs="Arial"/>
          <w:noProof/>
          <w:sz w:val="22"/>
          <w:szCs w:val="22"/>
        </w:rPr>
        <w:t xml:space="preserve">Roper, S. 2009. </w:t>
      </w:r>
      <w:r w:rsidR="00FB733A">
        <w:rPr>
          <w:rFonts w:ascii="Arial" w:hAnsi="Arial" w:cs="Arial"/>
          <w:i/>
          <w:noProof/>
          <w:sz w:val="22"/>
          <w:szCs w:val="22"/>
        </w:rPr>
        <w:t>S</w:t>
      </w:r>
      <w:r w:rsidR="00FB733A" w:rsidRPr="00FB733A">
        <w:rPr>
          <w:rFonts w:ascii="Arial" w:hAnsi="Arial" w:cs="Arial"/>
          <w:i/>
          <w:noProof/>
          <w:sz w:val="22"/>
          <w:szCs w:val="22"/>
        </w:rPr>
        <w:t>tepping forwards – Northern Ireland’s innovation future</w:t>
      </w:r>
      <w:r w:rsidRPr="00FB733A">
        <w:rPr>
          <w:rFonts w:ascii="Arial" w:hAnsi="Arial" w:cs="Arial"/>
          <w:i/>
          <w:noProof/>
          <w:sz w:val="22"/>
          <w:szCs w:val="22"/>
        </w:rPr>
        <w:t>.</w:t>
      </w:r>
      <w:r w:rsidRPr="00286B6E">
        <w:rPr>
          <w:rFonts w:ascii="Arial" w:hAnsi="Arial" w:cs="Arial"/>
          <w:noProof/>
          <w:sz w:val="22"/>
          <w:szCs w:val="22"/>
        </w:rPr>
        <w:t xml:space="preserve"> London</w:t>
      </w:r>
      <w:r w:rsidR="00FB733A">
        <w:rPr>
          <w:rFonts w:ascii="Arial" w:hAnsi="Arial" w:cs="Arial"/>
          <w:noProof/>
          <w:sz w:val="22"/>
          <w:szCs w:val="22"/>
        </w:rPr>
        <w:t>:</w:t>
      </w:r>
      <w:r w:rsidRPr="00286B6E">
        <w:rPr>
          <w:rFonts w:ascii="Arial" w:hAnsi="Arial" w:cs="Arial"/>
          <w:noProof/>
          <w:sz w:val="22"/>
          <w:szCs w:val="22"/>
        </w:rPr>
        <w:t xml:space="preserve"> NESTA.</w:t>
      </w:r>
      <w:bookmarkEnd w:id="79"/>
    </w:p>
    <w:p w:rsidR="00286B6E" w:rsidRPr="00286B6E" w:rsidRDefault="00286B6E" w:rsidP="00286B6E">
      <w:pPr>
        <w:spacing w:after="300" w:line="360" w:lineRule="auto"/>
        <w:jc w:val="both"/>
        <w:rPr>
          <w:rFonts w:ascii="Arial" w:hAnsi="Arial" w:cs="Arial"/>
          <w:noProof/>
          <w:sz w:val="22"/>
          <w:szCs w:val="22"/>
        </w:rPr>
      </w:pPr>
      <w:bookmarkStart w:id="80" w:name="_ENREF_80"/>
      <w:r w:rsidRPr="00286B6E">
        <w:rPr>
          <w:rFonts w:ascii="Arial" w:hAnsi="Arial" w:cs="Arial"/>
          <w:noProof/>
          <w:sz w:val="22"/>
          <w:szCs w:val="22"/>
        </w:rPr>
        <w:t xml:space="preserve">Roper, S. &amp; Anderson, J. 2000. </w:t>
      </w:r>
      <w:r w:rsidR="00FB733A">
        <w:rPr>
          <w:rFonts w:ascii="Arial" w:hAnsi="Arial" w:cs="Arial"/>
          <w:i/>
          <w:noProof/>
          <w:sz w:val="22"/>
          <w:szCs w:val="22"/>
        </w:rPr>
        <w:t>I</w:t>
      </w:r>
      <w:r w:rsidR="00FB733A" w:rsidRPr="00FB733A">
        <w:rPr>
          <w:rFonts w:ascii="Arial" w:hAnsi="Arial" w:cs="Arial"/>
          <w:i/>
          <w:noProof/>
          <w:sz w:val="22"/>
          <w:szCs w:val="22"/>
        </w:rPr>
        <w:t>nnovation and e-commerce</w:t>
      </w:r>
      <w:r w:rsidR="00FB733A">
        <w:rPr>
          <w:rFonts w:ascii="Arial" w:hAnsi="Arial" w:cs="Arial"/>
          <w:i/>
          <w:noProof/>
          <w:sz w:val="22"/>
          <w:szCs w:val="22"/>
        </w:rPr>
        <w:t>: A</w:t>
      </w:r>
      <w:r w:rsidR="00FB733A" w:rsidRPr="00FB733A">
        <w:rPr>
          <w:rFonts w:ascii="Arial" w:hAnsi="Arial" w:cs="Arial"/>
          <w:i/>
          <w:noProof/>
          <w:sz w:val="22"/>
          <w:szCs w:val="22"/>
        </w:rPr>
        <w:t xml:space="preserve"> cross-border comparison of Irish manufacturing plants</w:t>
      </w:r>
      <w:r w:rsidRPr="00286B6E">
        <w:rPr>
          <w:rFonts w:ascii="Arial" w:hAnsi="Arial" w:cs="Arial"/>
          <w:noProof/>
          <w:sz w:val="22"/>
          <w:szCs w:val="22"/>
        </w:rPr>
        <w:t>. Belfast.</w:t>
      </w:r>
      <w:bookmarkEnd w:id="80"/>
    </w:p>
    <w:p w:rsidR="00286B6E" w:rsidRPr="00286B6E" w:rsidRDefault="00286B6E" w:rsidP="00286B6E">
      <w:pPr>
        <w:spacing w:after="300" w:line="360" w:lineRule="auto"/>
        <w:jc w:val="both"/>
        <w:rPr>
          <w:rFonts w:ascii="Arial" w:hAnsi="Arial" w:cs="Arial"/>
          <w:sz w:val="22"/>
          <w:szCs w:val="22"/>
        </w:rPr>
      </w:pPr>
      <w:bookmarkStart w:id="81" w:name="_ENREF_81"/>
      <w:r w:rsidRPr="00286B6E">
        <w:rPr>
          <w:rFonts w:ascii="Arial" w:hAnsi="Arial" w:cs="Arial"/>
          <w:sz w:val="22"/>
          <w:szCs w:val="22"/>
        </w:rPr>
        <w:t xml:space="preserve">Roper, S., Ashcroft, B., Love, J.H., Dunlop, S., Hofmann, H. &amp; Vogler-Ludwig, K. 1996. </w:t>
      </w:r>
      <w:r w:rsidRPr="00FB733A">
        <w:rPr>
          <w:rFonts w:ascii="Arial" w:hAnsi="Arial" w:cs="Arial"/>
          <w:i/>
          <w:sz w:val="22"/>
          <w:szCs w:val="22"/>
        </w:rPr>
        <w:t>Product Innovation and Development in UK, German and Irish Manufacturing</w:t>
      </w:r>
      <w:r w:rsidRPr="00286B6E">
        <w:rPr>
          <w:rFonts w:ascii="Arial" w:hAnsi="Arial" w:cs="Arial"/>
          <w:sz w:val="22"/>
          <w:szCs w:val="22"/>
        </w:rPr>
        <w:t>. Queen's University of Bel</w:t>
      </w:r>
      <w:r w:rsidR="00FB733A">
        <w:rPr>
          <w:rFonts w:ascii="Arial" w:hAnsi="Arial" w:cs="Arial"/>
          <w:sz w:val="22"/>
          <w:szCs w:val="22"/>
        </w:rPr>
        <w:t>fast/University of Strathclyde/I</w:t>
      </w:r>
      <w:r w:rsidRPr="00286B6E">
        <w:rPr>
          <w:rFonts w:ascii="Arial" w:hAnsi="Arial" w:cs="Arial"/>
          <w:sz w:val="22"/>
          <w:szCs w:val="22"/>
        </w:rPr>
        <w:t>nfo Institut.</w:t>
      </w:r>
    </w:p>
    <w:p w:rsidR="00286B6E" w:rsidRPr="00286B6E" w:rsidRDefault="00286B6E" w:rsidP="00286B6E">
      <w:pPr>
        <w:spacing w:after="300" w:line="360" w:lineRule="auto"/>
        <w:jc w:val="both"/>
        <w:rPr>
          <w:rFonts w:ascii="Arial" w:hAnsi="Arial" w:cs="Arial"/>
          <w:noProof/>
          <w:sz w:val="22"/>
          <w:szCs w:val="22"/>
        </w:rPr>
      </w:pPr>
      <w:bookmarkStart w:id="82" w:name="_ENREF_82"/>
      <w:bookmarkEnd w:id="81"/>
      <w:r w:rsidRPr="00286B6E">
        <w:rPr>
          <w:rFonts w:ascii="Arial" w:hAnsi="Arial" w:cs="Arial"/>
          <w:noProof/>
          <w:sz w:val="22"/>
          <w:szCs w:val="22"/>
        </w:rPr>
        <w:t xml:space="preserve">Roper, S. &amp; Hewitt-Dundas, N. 1998. </w:t>
      </w:r>
      <w:r w:rsidR="00FB733A" w:rsidRPr="00FB733A">
        <w:rPr>
          <w:rFonts w:ascii="Arial" w:hAnsi="Arial" w:cs="Arial"/>
          <w:i/>
          <w:noProof/>
          <w:sz w:val="22"/>
          <w:szCs w:val="22"/>
        </w:rPr>
        <w:t>Innovation, networks and the diffusion of manufacturing best practice: A comparison of Northern Ireland and the Republic of Ireland</w:t>
      </w:r>
      <w:r w:rsidRPr="00286B6E">
        <w:rPr>
          <w:rFonts w:ascii="Arial" w:hAnsi="Arial" w:cs="Arial"/>
          <w:noProof/>
          <w:sz w:val="22"/>
          <w:szCs w:val="22"/>
        </w:rPr>
        <w:t>. Belfast: NIERC.</w:t>
      </w:r>
      <w:bookmarkEnd w:id="82"/>
    </w:p>
    <w:p w:rsidR="00286B6E" w:rsidRPr="00286B6E" w:rsidRDefault="00286B6E" w:rsidP="00286B6E">
      <w:pPr>
        <w:spacing w:after="300" w:line="360" w:lineRule="auto"/>
        <w:jc w:val="both"/>
        <w:rPr>
          <w:rFonts w:ascii="Arial" w:hAnsi="Arial" w:cs="Arial"/>
          <w:noProof/>
          <w:sz w:val="22"/>
          <w:szCs w:val="22"/>
        </w:rPr>
      </w:pPr>
      <w:bookmarkStart w:id="83" w:name="_ENREF_83"/>
      <w:r w:rsidRPr="00286B6E">
        <w:rPr>
          <w:rFonts w:ascii="Arial" w:hAnsi="Arial" w:cs="Arial"/>
          <w:noProof/>
          <w:sz w:val="22"/>
          <w:szCs w:val="22"/>
        </w:rPr>
        <w:t xml:space="preserve">Roper, S. &amp; Hewitt-Dundas, N. 2008. </w:t>
      </w:r>
      <w:r w:rsidR="00FB733A">
        <w:rPr>
          <w:rFonts w:ascii="Arial" w:hAnsi="Arial" w:cs="Arial"/>
          <w:noProof/>
          <w:sz w:val="22"/>
          <w:szCs w:val="22"/>
        </w:rPr>
        <w:t>I</w:t>
      </w:r>
      <w:r w:rsidR="00FB733A" w:rsidRPr="00286B6E">
        <w:rPr>
          <w:rFonts w:ascii="Arial" w:hAnsi="Arial" w:cs="Arial"/>
          <w:noProof/>
          <w:sz w:val="22"/>
          <w:szCs w:val="22"/>
        </w:rPr>
        <w:t xml:space="preserve">nnovation persistence: </w:t>
      </w:r>
      <w:r w:rsidR="00FB733A">
        <w:rPr>
          <w:rFonts w:ascii="Arial" w:hAnsi="Arial" w:cs="Arial"/>
          <w:noProof/>
          <w:sz w:val="22"/>
          <w:szCs w:val="22"/>
        </w:rPr>
        <w:t>S</w:t>
      </w:r>
      <w:r w:rsidR="00FB733A" w:rsidRPr="00286B6E">
        <w:rPr>
          <w:rFonts w:ascii="Arial" w:hAnsi="Arial" w:cs="Arial"/>
          <w:noProof/>
          <w:sz w:val="22"/>
          <w:szCs w:val="22"/>
        </w:rPr>
        <w:t xml:space="preserve">urvey and case-study evidence. </w:t>
      </w:r>
      <w:r w:rsidRPr="00286B6E">
        <w:rPr>
          <w:rFonts w:ascii="Arial" w:hAnsi="Arial" w:cs="Arial"/>
          <w:i/>
          <w:noProof/>
          <w:sz w:val="22"/>
          <w:szCs w:val="22"/>
        </w:rPr>
        <w:t>Research Policy</w:t>
      </w:r>
      <w:r w:rsidR="00787994">
        <w:rPr>
          <w:rFonts w:ascii="Arial" w:hAnsi="Arial" w:cs="Arial"/>
          <w:i/>
          <w:noProof/>
          <w:sz w:val="22"/>
          <w:szCs w:val="22"/>
        </w:rPr>
        <w:t xml:space="preserve">. </w:t>
      </w:r>
      <w:r w:rsidRPr="00286B6E">
        <w:rPr>
          <w:rFonts w:ascii="Arial" w:hAnsi="Arial" w:cs="Arial"/>
          <w:noProof/>
          <w:sz w:val="22"/>
          <w:szCs w:val="22"/>
        </w:rPr>
        <w:t>37</w:t>
      </w:r>
      <w:r w:rsidRPr="00286B6E">
        <w:rPr>
          <w:rFonts w:ascii="Arial" w:hAnsi="Arial" w:cs="Arial"/>
          <w:b/>
          <w:noProof/>
          <w:sz w:val="22"/>
          <w:szCs w:val="22"/>
        </w:rPr>
        <w:t>,</w:t>
      </w:r>
      <w:r w:rsidRPr="00286B6E">
        <w:rPr>
          <w:rFonts w:ascii="Arial" w:hAnsi="Arial" w:cs="Arial"/>
          <w:noProof/>
          <w:sz w:val="22"/>
          <w:szCs w:val="22"/>
        </w:rPr>
        <w:t xml:space="preserve"> 149-162.</w:t>
      </w:r>
      <w:bookmarkEnd w:id="83"/>
    </w:p>
    <w:p w:rsidR="00286B6E" w:rsidRPr="00286B6E" w:rsidRDefault="00286B6E" w:rsidP="00286B6E">
      <w:pPr>
        <w:spacing w:after="300" w:line="360" w:lineRule="auto"/>
        <w:jc w:val="both"/>
        <w:rPr>
          <w:rFonts w:ascii="Arial" w:hAnsi="Arial" w:cs="Arial"/>
          <w:sz w:val="22"/>
          <w:szCs w:val="22"/>
        </w:rPr>
      </w:pPr>
      <w:bookmarkStart w:id="84" w:name="_ENREF_84"/>
      <w:r w:rsidRPr="00286B6E">
        <w:rPr>
          <w:rFonts w:ascii="Arial" w:hAnsi="Arial" w:cs="Arial"/>
          <w:sz w:val="22"/>
          <w:szCs w:val="22"/>
        </w:rPr>
        <w:t xml:space="preserve">Roper, S. Hewitt-Dundas, N &amp; Love, J.H. 2004. </w:t>
      </w:r>
      <w:r w:rsidR="004B36FC">
        <w:rPr>
          <w:rFonts w:ascii="Arial" w:hAnsi="Arial" w:cs="Arial"/>
          <w:sz w:val="22"/>
          <w:szCs w:val="22"/>
        </w:rPr>
        <w:t>A</w:t>
      </w:r>
      <w:r w:rsidR="004B36FC" w:rsidRPr="00286B6E">
        <w:rPr>
          <w:rFonts w:ascii="Arial" w:hAnsi="Arial" w:cs="Arial"/>
          <w:sz w:val="22"/>
          <w:szCs w:val="22"/>
        </w:rPr>
        <w:t>n ex ante evaluation framework for the regional benefits of publicly supported R&amp;D projects</w:t>
      </w:r>
      <w:r w:rsidRPr="00286B6E">
        <w:rPr>
          <w:rFonts w:ascii="Arial" w:hAnsi="Arial" w:cs="Arial"/>
          <w:sz w:val="22"/>
          <w:szCs w:val="22"/>
        </w:rPr>
        <w:t xml:space="preserve">. </w:t>
      </w:r>
      <w:r w:rsidRPr="004B36FC">
        <w:rPr>
          <w:rFonts w:ascii="Arial" w:hAnsi="Arial" w:cs="Arial"/>
          <w:i/>
          <w:sz w:val="22"/>
          <w:szCs w:val="22"/>
        </w:rPr>
        <w:t>Research Policy</w:t>
      </w:r>
      <w:r w:rsidR="00787994">
        <w:rPr>
          <w:rFonts w:ascii="Arial" w:hAnsi="Arial" w:cs="Arial"/>
          <w:sz w:val="22"/>
          <w:szCs w:val="22"/>
        </w:rPr>
        <w:t>.</w:t>
      </w:r>
      <w:r w:rsidRPr="00286B6E">
        <w:rPr>
          <w:rFonts w:ascii="Arial" w:hAnsi="Arial" w:cs="Arial"/>
          <w:sz w:val="22"/>
          <w:szCs w:val="22"/>
        </w:rPr>
        <w:t xml:space="preserve"> 33, 487-509.</w:t>
      </w:r>
    </w:p>
    <w:p w:rsidR="00286B6E" w:rsidRPr="00286B6E" w:rsidRDefault="00286B6E" w:rsidP="00286B6E">
      <w:pPr>
        <w:spacing w:after="300" w:line="360" w:lineRule="auto"/>
        <w:jc w:val="both"/>
        <w:rPr>
          <w:rFonts w:ascii="Arial" w:hAnsi="Arial" w:cs="Arial"/>
          <w:noProof/>
          <w:sz w:val="22"/>
          <w:szCs w:val="22"/>
        </w:rPr>
      </w:pPr>
      <w:bookmarkStart w:id="85" w:name="_ENREF_87"/>
      <w:bookmarkEnd w:id="84"/>
      <w:r w:rsidRPr="00286B6E">
        <w:rPr>
          <w:rFonts w:ascii="Arial" w:hAnsi="Arial" w:cs="Arial"/>
          <w:noProof/>
          <w:sz w:val="22"/>
          <w:szCs w:val="22"/>
        </w:rPr>
        <w:t xml:space="preserve">Sakakibara, M. 1997. </w:t>
      </w:r>
      <w:r w:rsidR="00C27AF5">
        <w:rPr>
          <w:rFonts w:ascii="Arial" w:hAnsi="Arial" w:cs="Arial"/>
          <w:noProof/>
          <w:sz w:val="22"/>
          <w:szCs w:val="22"/>
        </w:rPr>
        <w:t>E</w:t>
      </w:r>
      <w:r w:rsidR="00C27AF5" w:rsidRPr="00286B6E">
        <w:rPr>
          <w:rFonts w:ascii="Arial" w:hAnsi="Arial" w:cs="Arial"/>
          <w:noProof/>
          <w:sz w:val="22"/>
          <w:szCs w:val="22"/>
        </w:rPr>
        <w:t xml:space="preserve">valuating government sponsored R&amp;D consortia in Japan; who benefits and why? </w:t>
      </w:r>
      <w:r w:rsidRPr="00286B6E">
        <w:rPr>
          <w:rFonts w:ascii="Arial" w:hAnsi="Arial" w:cs="Arial"/>
          <w:i/>
          <w:noProof/>
          <w:sz w:val="22"/>
          <w:szCs w:val="22"/>
        </w:rPr>
        <w:t>Research Policy</w:t>
      </w:r>
      <w:r w:rsidR="00787994">
        <w:rPr>
          <w:rFonts w:ascii="Arial" w:hAnsi="Arial" w:cs="Arial"/>
          <w:i/>
          <w:noProof/>
          <w:sz w:val="22"/>
          <w:szCs w:val="22"/>
        </w:rPr>
        <w:t xml:space="preserve">. </w:t>
      </w:r>
      <w:r w:rsidRPr="00286B6E">
        <w:rPr>
          <w:rFonts w:ascii="Arial" w:hAnsi="Arial" w:cs="Arial"/>
          <w:noProof/>
          <w:sz w:val="22"/>
          <w:szCs w:val="22"/>
        </w:rPr>
        <w:t>26</w:t>
      </w:r>
      <w:r w:rsidRPr="00286B6E">
        <w:rPr>
          <w:rFonts w:ascii="Arial" w:hAnsi="Arial" w:cs="Arial"/>
          <w:b/>
          <w:noProof/>
          <w:sz w:val="22"/>
          <w:szCs w:val="22"/>
        </w:rPr>
        <w:t>,</w:t>
      </w:r>
      <w:r w:rsidRPr="00286B6E">
        <w:rPr>
          <w:rFonts w:ascii="Arial" w:hAnsi="Arial" w:cs="Arial"/>
          <w:noProof/>
          <w:sz w:val="22"/>
          <w:szCs w:val="22"/>
        </w:rPr>
        <w:t xml:space="preserve"> 447-473.</w:t>
      </w:r>
      <w:bookmarkEnd w:id="85"/>
    </w:p>
    <w:p w:rsidR="00D22FA3" w:rsidRDefault="00D22FA3">
      <w:pPr>
        <w:rPr>
          <w:rFonts w:ascii="Arial" w:hAnsi="Arial" w:cs="Arial"/>
          <w:noProof/>
          <w:sz w:val="22"/>
          <w:szCs w:val="22"/>
        </w:rPr>
      </w:pPr>
      <w:bookmarkStart w:id="86" w:name="_ENREF_88"/>
      <w:r>
        <w:rPr>
          <w:rFonts w:ascii="Arial" w:hAnsi="Arial" w:cs="Arial"/>
          <w:noProof/>
          <w:sz w:val="22"/>
          <w:szCs w:val="22"/>
        </w:rPr>
        <w:br w:type="page"/>
      </w:r>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noProof/>
          <w:sz w:val="22"/>
          <w:szCs w:val="22"/>
        </w:rPr>
        <w:lastRenderedPageBreak/>
        <w:t>Schoening, N. C., Souder, W. E., Lee, J. &amp; Cooper, R. 1998. The influence of government science and technology policies on new product development in the U</w:t>
      </w:r>
      <w:r w:rsidR="00C27AF5">
        <w:rPr>
          <w:rFonts w:ascii="Arial" w:hAnsi="Arial" w:cs="Arial"/>
          <w:noProof/>
          <w:sz w:val="22"/>
          <w:szCs w:val="22"/>
        </w:rPr>
        <w:t>.</w:t>
      </w:r>
      <w:r w:rsidRPr="00286B6E">
        <w:rPr>
          <w:rFonts w:ascii="Arial" w:hAnsi="Arial" w:cs="Arial"/>
          <w:noProof/>
          <w:sz w:val="22"/>
          <w:szCs w:val="22"/>
        </w:rPr>
        <w:t>S</w:t>
      </w:r>
      <w:r w:rsidR="00C27AF5">
        <w:rPr>
          <w:rFonts w:ascii="Arial" w:hAnsi="Arial" w:cs="Arial"/>
          <w:noProof/>
          <w:sz w:val="22"/>
          <w:szCs w:val="22"/>
        </w:rPr>
        <w:t>.</w:t>
      </w:r>
      <w:r w:rsidRPr="00286B6E">
        <w:rPr>
          <w:rFonts w:ascii="Arial" w:hAnsi="Arial" w:cs="Arial"/>
          <w:noProof/>
          <w:sz w:val="22"/>
          <w:szCs w:val="22"/>
        </w:rPr>
        <w:t>A</w:t>
      </w:r>
      <w:r w:rsidR="00C27AF5">
        <w:rPr>
          <w:rFonts w:ascii="Arial" w:hAnsi="Arial" w:cs="Arial"/>
          <w:noProof/>
          <w:sz w:val="22"/>
          <w:szCs w:val="22"/>
        </w:rPr>
        <w:t>.</w:t>
      </w:r>
      <w:r w:rsidRPr="00286B6E">
        <w:rPr>
          <w:rFonts w:ascii="Arial" w:hAnsi="Arial" w:cs="Arial"/>
          <w:noProof/>
          <w:sz w:val="22"/>
          <w:szCs w:val="22"/>
        </w:rPr>
        <w:t>, U</w:t>
      </w:r>
      <w:r w:rsidR="00C27AF5">
        <w:rPr>
          <w:rFonts w:ascii="Arial" w:hAnsi="Arial" w:cs="Arial"/>
          <w:noProof/>
          <w:sz w:val="22"/>
          <w:szCs w:val="22"/>
        </w:rPr>
        <w:t>.</w:t>
      </w:r>
      <w:r w:rsidRPr="00286B6E">
        <w:rPr>
          <w:rFonts w:ascii="Arial" w:hAnsi="Arial" w:cs="Arial"/>
          <w:noProof/>
          <w:sz w:val="22"/>
          <w:szCs w:val="22"/>
        </w:rPr>
        <w:t>K</w:t>
      </w:r>
      <w:r w:rsidR="00C27AF5">
        <w:rPr>
          <w:rFonts w:ascii="Arial" w:hAnsi="Arial" w:cs="Arial"/>
          <w:noProof/>
          <w:sz w:val="22"/>
          <w:szCs w:val="22"/>
        </w:rPr>
        <w:t>.</w:t>
      </w:r>
      <w:r w:rsidRPr="00286B6E">
        <w:rPr>
          <w:rFonts w:ascii="Arial" w:hAnsi="Arial" w:cs="Arial"/>
          <w:noProof/>
          <w:sz w:val="22"/>
          <w:szCs w:val="22"/>
        </w:rPr>
        <w:t xml:space="preserve">, South Korea and Taiwan. </w:t>
      </w:r>
      <w:r w:rsidRPr="00286B6E">
        <w:rPr>
          <w:rFonts w:ascii="Arial" w:hAnsi="Arial" w:cs="Arial"/>
          <w:i/>
          <w:noProof/>
          <w:sz w:val="22"/>
          <w:szCs w:val="22"/>
        </w:rPr>
        <w:t xml:space="preserve">International Journal </w:t>
      </w:r>
      <w:r w:rsidR="00C27AF5">
        <w:rPr>
          <w:rFonts w:ascii="Arial" w:hAnsi="Arial" w:cs="Arial"/>
          <w:i/>
          <w:noProof/>
          <w:sz w:val="22"/>
          <w:szCs w:val="22"/>
        </w:rPr>
        <w:t>o</w:t>
      </w:r>
      <w:r w:rsidRPr="00286B6E">
        <w:rPr>
          <w:rFonts w:ascii="Arial" w:hAnsi="Arial" w:cs="Arial"/>
          <w:i/>
          <w:noProof/>
          <w:sz w:val="22"/>
          <w:szCs w:val="22"/>
        </w:rPr>
        <w:t>f Technology Management</w:t>
      </w:r>
      <w:r w:rsidR="00787994">
        <w:rPr>
          <w:rFonts w:ascii="Arial" w:hAnsi="Arial" w:cs="Arial"/>
          <w:i/>
          <w:noProof/>
          <w:sz w:val="22"/>
          <w:szCs w:val="22"/>
        </w:rPr>
        <w:t>.</w:t>
      </w:r>
      <w:r w:rsidRPr="00286B6E">
        <w:rPr>
          <w:rFonts w:ascii="Arial" w:hAnsi="Arial" w:cs="Arial"/>
          <w:noProof/>
          <w:sz w:val="22"/>
          <w:szCs w:val="22"/>
        </w:rPr>
        <w:t xml:space="preserve"> 15</w:t>
      </w:r>
      <w:r w:rsidRPr="00286B6E">
        <w:rPr>
          <w:rFonts w:ascii="Arial" w:hAnsi="Arial" w:cs="Arial"/>
          <w:b/>
          <w:noProof/>
          <w:sz w:val="22"/>
          <w:szCs w:val="22"/>
        </w:rPr>
        <w:t>,</w:t>
      </w:r>
      <w:r w:rsidRPr="00286B6E">
        <w:rPr>
          <w:rFonts w:ascii="Arial" w:hAnsi="Arial" w:cs="Arial"/>
          <w:noProof/>
          <w:sz w:val="22"/>
          <w:szCs w:val="22"/>
        </w:rPr>
        <w:t xml:space="preserve"> 821-835.</w:t>
      </w:r>
      <w:bookmarkEnd w:id="86"/>
    </w:p>
    <w:p w:rsidR="00286B6E" w:rsidRPr="00286B6E" w:rsidRDefault="00286B6E" w:rsidP="00286B6E">
      <w:pPr>
        <w:spacing w:after="300" w:line="360" w:lineRule="auto"/>
        <w:jc w:val="both"/>
        <w:rPr>
          <w:rFonts w:ascii="Arial" w:hAnsi="Arial" w:cs="Arial"/>
          <w:noProof/>
          <w:sz w:val="22"/>
          <w:szCs w:val="22"/>
        </w:rPr>
      </w:pPr>
      <w:r w:rsidRPr="00286B6E">
        <w:rPr>
          <w:rFonts w:ascii="Arial" w:hAnsi="Arial" w:cs="Arial"/>
          <w:sz w:val="22"/>
          <w:szCs w:val="22"/>
        </w:rPr>
        <w:t xml:space="preserve">Technology Strategy Board. 2013. </w:t>
      </w:r>
      <w:r w:rsidRPr="00C27AF5">
        <w:rPr>
          <w:rFonts w:ascii="Arial" w:hAnsi="Arial" w:cs="Arial"/>
          <w:i/>
          <w:sz w:val="22"/>
          <w:szCs w:val="22"/>
        </w:rPr>
        <w:t xml:space="preserve">Accelerating innovation and </w:t>
      </w:r>
      <w:r w:rsidR="00C27AF5" w:rsidRPr="00C27AF5">
        <w:rPr>
          <w:rFonts w:ascii="Arial" w:hAnsi="Arial" w:cs="Arial"/>
          <w:i/>
          <w:sz w:val="22"/>
          <w:szCs w:val="22"/>
        </w:rPr>
        <w:t>growth:</w:t>
      </w:r>
      <w:r w:rsidRPr="00C27AF5">
        <w:rPr>
          <w:rFonts w:ascii="Arial" w:hAnsi="Arial" w:cs="Arial"/>
          <w:i/>
          <w:sz w:val="22"/>
          <w:szCs w:val="22"/>
        </w:rPr>
        <w:t xml:space="preserve"> Pilot SME growth programme - formative evaluation</w:t>
      </w:r>
      <w:r w:rsidR="00C27AF5">
        <w:rPr>
          <w:rFonts w:ascii="Arial" w:hAnsi="Arial" w:cs="Arial"/>
          <w:sz w:val="22"/>
          <w:szCs w:val="22"/>
        </w:rPr>
        <w:t>.</w:t>
      </w:r>
      <w:r w:rsidRPr="00286B6E">
        <w:rPr>
          <w:rFonts w:ascii="Arial" w:hAnsi="Arial" w:cs="Arial"/>
          <w:sz w:val="22"/>
          <w:szCs w:val="22"/>
        </w:rPr>
        <w:t xml:space="preserve"> </w:t>
      </w:r>
      <w:r w:rsidR="00C27AF5" w:rsidRPr="00286B6E">
        <w:rPr>
          <w:rFonts w:ascii="Arial" w:hAnsi="Arial" w:cs="Arial"/>
          <w:sz w:val="22"/>
          <w:szCs w:val="22"/>
        </w:rPr>
        <w:t>. Swindon</w:t>
      </w:r>
      <w:r w:rsidR="00C27AF5">
        <w:rPr>
          <w:rFonts w:ascii="Arial" w:hAnsi="Arial" w:cs="Arial"/>
          <w:sz w:val="22"/>
          <w:szCs w:val="22"/>
        </w:rPr>
        <w:t>:</w:t>
      </w:r>
      <w:r w:rsidR="00C27AF5" w:rsidRPr="00286B6E">
        <w:rPr>
          <w:rFonts w:ascii="Arial" w:hAnsi="Arial" w:cs="Arial"/>
          <w:sz w:val="22"/>
          <w:szCs w:val="22"/>
        </w:rPr>
        <w:t xml:space="preserve"> </w:t>
      </w:r>
      <w:r w:rsidRPr="00286B6E">
        <w:rPr>
          <w:rFonts w:ascii="Arial" w:hAnsi="Arial" w:cs="Arial"/>
          <w:sz w:val="22"/>
          <w:szCs w:val="22"/>
        </w:rPr>
        <w:t>T.S. Board</w:t>
      </w:r>
      <w:r w:rsidR="00C27AF5">
        <w:rPr>
          <w:rFonts w:ascii="Arial" w:hAnsi="Arial" w:cs="Arial"/>
          <w:sz w:val="22"/>
          <w:szCs w:val="22"/>
        </w:rPr>
        <w:t>.</w:t>
      </w:r>
    </w:p>
    <w:p w:rsidR="00286B6E" w:rsidRPr="00286B6E" w:rsidRDefault="00286B6E" w:rsidP="00286B6E">
      <w:pPr>
        <w:spacing w:after="300" w:line="360" w:lineRule="auto"/>
        <w:jc w:val="both"/>
        <w:rPr>
          <w:rFonts w:ascii="Arial" w:hAnsi="Arial" w:cs="Arial"/>
          <w:noProof/>
          <w:sz w:val="22"/>
          <w:szCs w:val="22"/>
        </w:rPr>
      </w:pPr>
      <w:bookmarkStart w:id="87" w:name="_ENREF_90"/>
      <w:r w:rsidRPr="00286B6E">
        <w:rPr>
          <w:rFonts w:ascii="Arial" w:hAnsi="Arial" w:cs="Arial"/>
          <w:noProof/>
          <w:sz w:val="22"/>
          <w:szCs w:val="22"/>
        </w:rPr>
        <w:t xml:space="preserve">Todd, M. 2010. Recession as the mother of innovation. </w:t>
      </w:r>
      <w:r w:rsidRPr="00286B6E">
        <w:rPr>
          <w:rFonts w:ascii="Arial" w:hAnsi="Arial" w:cs="Arial"/>
          <w:i/>
          <w:noProof/>
          <w:sz w:val="22"/>
          <w:szCs w:val="22"/>
        </w:rPr>
        <w:t>Solid State Technology</w:t>
      </w:r>
      <w:r w:rsidR="00787994">
        <w:rPr>
          <w:rFonts w:ascii="Arial" w:hAnsi="Arial" w:cs="Arial"/>
          <w:i/>
          <w:noProof/>
          <w:sz w:val="22"/>
          <w:szCs w:val="22"/>
        </w:rPr>
        <w:t>.</w:t>
      </w:r>
      <w:r w:rsidRPr="00286B6E">
        <w:rPr>
          <w:rFonts w:ascii="Arial" w:hAnsi="Arial" w:cs="Arial"/>
          <w:noProof/>
          <w:sz w:val="22"/>
          <w:szCs w:val="22"/>
        </w:rPr>
        <w:t xml:space="preserve"> 53</w:t>
      </w:r>
      <w:r w:rsidRPr="00286B6E">
        <w:rPr>
          <w:rFonts w:ascii="Arial" w:hAnsi="Arial" w:cs="Arial"/>
          <w:b/>
          <w:noProof/>
          <w:sz w:val="22"/>
          <w:szCs w:val="22"/>
        </w:rPr>
        <w:t>,</w:t>
      </w:r>
      <w:r w:rsidRPr="00286B6E">
        <w:rPr>
          <w:rFonts w:ascii="Arial" w:hAnsi="Arial" w:cs="Arial"/>
          <w:noProof/>
          <w:sz w:val="22"/>
          <w:szCs w:val="22"/>
        </w:rPr>
        <w:t xml:space="preserve"> 24-24.</w:t>
      </w:r>
      <w:bookmarkEnd w:id="87"/>
    </w:p>
    <w:p w:rsidR="00286B6E" w:rsidRPr="00286B6E" w:rsidRDefault="00286B6E" w:rsidP="00286B6E">
      <w:pPr>
        <w:spacing w:after="300" w:line="360" w:lineRule="auto"/>
        <w:jc w:val="both"/>
        <w:rPr>
          <w:rFonts w:ascii="Arial" w:hAnsi="Arial" w:cs="Arial"/>
          <w:noProof/>
          <w:sz w:val="22"/>
          <w:szCs w:val="22"/>
        </w:rPr>
      </w:pPr>
      <w:bookmarkStart w:id="88" w:name="_ENREF_91"/>
      <w:r w:rsidRPr="00286B6E">
        <w:rPr>
          <w:rFonts w:ascii="Arial" w:hAnsi="Arial" w:cs="Arial"/>
          <w:noProof/>
          <w:sz w:val="22"/>
          <w:szCs w:val="22"/>
        </w:rPr>
        <w:t xml:space="preserve">Trajtenberg, M. 2001. Innovation in Israel 1968-1997: a comparative analysis using patent data. </w:t>
      </w:r>
      <w:r w:rsidRPr="00286B6E">
        <w:rPr>
          <w:rFonts w:ascii="Arial" w:hAnsi="Arial" w:cs="Arial"/>
          <w:i/>
          <w:noProof/>
          <w:sz w:val="22"/>
          <w:szCs w:val="22"/>
        </w:rPr>
        <w:t>Research Policy</w:t>
      </w:r>
      <w:r w:rsidR="00787994">
        <w:rPr>
          <w:rFonts w:ascii="Arial" w:hAnsi="Arial" w:cs="Arial"/>
          <w:i/>
          <w:noProof/>
          <w:sz w:val="22"/>
          <w:szCs w:val="22"/>
        </w:rPr>
        <w:t>.</w:t>
      </w:r>
      <w:r w:rsidRPr="00286B6E">
        <w:rPr>
          <w:rFonts w:ascii="Arial" w:hAnsi="Arial" w:cs="Arial"/>
          <w:noProof/>
          <w:sz w:val="22"/>
          <w:szCs w:val="22"/>
        </w:rPr>
        <w:t xml:space="preserve"> 30</w:t>
      </w:r>
      <w:r w:rsidRPr="00286B6E">
        <w:rPr>
          <w:rFonts w:ascii="Arial" w:hAnsi="Arial" w:cs="Arial"/>
          <w:b/>
          <w:noProof/>
          <w:sz w:val="22"/>
          <w:szCs w:val="22"/>
        </w:rPr>
        <w:t>,</w:t>
      </w:r>
      <w:r w:rsidRPr="00286B6E">
        <w:rPr>
          <w:rFonts w:ascii="Arial" w:hAnsi="Arial" w:cs="Arial"/>
          <w:noProof/>
          <w:sz w:val="22"/>
          <w:szCs w:val="22"/>
        </w:rPr>
        <w:t xml:space="preserve"> 363-389.</w:t>
      </w:r>
      <w:bookmarkEnd w:id="88"/>
    </w:p>
    <w:p w:rsidR="00286B6E" w:rsidRPr="00286B6E" w:rsidRDefault="00286B6E" w:rsidP="00286B6E">
      <w:pPr>
        <w:spacing w:after="300" w:line="360" w:lineRule="auto"/>
        <w:jc w:val="both"/>
        <w:rPr>
          <w:rFonts w:ascii="Arial" w:hAnsi="Arial" w:cs="Arial"/>
          <w:noProof/>
          <w:sz w:val="22"/>
          <w:szCs w:val="22"/>
        </w:rPr>
      </w:pPr>
      <w:bookmarkStart w:id="89" w:name="_ENREF_92"/>
      <w:r w:rsidRPr="00286B6E">
        <w:rPr>
          <w:rFonts w:ascii="Arial" w:hAnsi="Arial" w:cs="Arial"/>
          <w:noProof/>
          <w:sz w:val="22"/>
          <w:szCs w:val="22"/>
        </w:rPr>
        <w:t>Woolthuis, R. K., Lankhuizen, M. &amp; Gilsing, V. 2005. A system failure framework for innovation policy design</w:t>
      </w:r>
      <w:r w:rsidR="00C27AF5">
        <w:rPr>
          <w:rFonts w:ascii="Arial" w:hAnsi="Arial" w:cs="Arial"/>
          <w:noProof/>
          <w:sz w:val="22"/>
          <w:szCs w:val="22"/>
        </w:rPr>
        <w:t>.</w:t>
      </w:r>
      <w:r w:rsidRPr="00286B6E">
        <w:rPr>
          <w:rFonts w:ascii="Arial" w:hAnsi="Arial" w:cs="Arial"/>
          <w:noProof/>
          <w:sz w:val="22"/>
          <w:szCs w:val="22"/>
        </w:rPr>
        <w:t xml:space="preserve"> </w:t>
      </w:r>
      <w:r w:rsidRPr="00286B6E">
        <w:rPr>
          <w:rFonts w:ascii="Arial" w:hAnsi="Arial" w:cs="Arial"/>
          <w:i/>
          <w:noProof/>
          <w:sz w:val="22"/>
          <w:szCs w:val="22"/>
        </w:rPr>
        <w:t>Technovation</w:t>
      </w:r>
      <w:r w:rsidR="00787994">
        <w:rPr>
          <w:rFonts w:ascii="Arial" w:hAnsi="Arial" w:cs="Arial"/>
          <w:i/>
          <w:noProof/>
          <w:sz w:val="22"/>
          <w:szCs w:val="22"/>
        </w:rPr>
        <w:t>.</w:t>
      </w:r>
      <w:r w:rsidRPr="00286B6E">
        <w:rPr>
          <w:rFonts w:ascii="Arial" w:hAnsi="Arial" w:cs="Arial"/>
          <w:i/>
          <w:noProof/>
          <w:sz w:val="22"/>
          <w:szCs w:val="22"/>
        </w:rPr>
        <w:t xml:space="preserve"> </w:t>
      </w:r>
      <w:r w:rsidRPr="00286B6E">
        <w:rPr>
          <w:rFonts w:ascii="Arial" w:hAnsi="Arial" w:cs="Arial"/>
          <w:noProof/>
          <w:sz w:val="22"/>
          <w:szCs w:val="22"/>
        </w:rPr>
        <w:t>25</w:t>
      </w:r>
      <w:r w:rsidRPr="00286B6E">
        <w:rPr>
          <w:rFonts w:ascii="Arial" w:hAnsi="Arial" w:cs="Arial"/>
          <w:b/>
          <w:noProof/>
          <w:sz w:val="22"/>
          <w:szCs w:val="22"/>
        </w:rPr>
        <w:t>,</w:t>
      </w:r>
      <w:r w:rsidRPr="00286B6E">
        <w:rPr>
          <w:rFonts w:ascii="Arial" w:hAnsi="Arial" w:cs="Arial"/>
          <w:noProof/>
          <w:sz w:val="22"/>
          <w:szCs w:val="22"/>
        </w:rPr>
        <w:t xml:space="preserve"> 609-619.</w:t>
      </w:r>
      <w:bookmarkEnd w:id="89"/>
    </w:p>
    <w:p w:rsidR="00286B6E" w:rsidRPr="00286B6E" w:rsidRDefault="00286B6E" w:rsidP="00286B6E">
      <w:pPr>
        <w:spacing w:after="300" w:line="360" w:lineRule="auto"/>
        <w:jc w:val="both"/>
        <w:rPr>
          <w:rFonts w:ascii="Arial" w:hAnsi="Arial" w:cs="Arial"/>
          <w:noProof/>
          <w:sz w:val="22"/>
          <w:szCs w:val="22"/>
        </w:rPr>
      </w:pPr>
      <w:r w:rsidRPr="00286B6E">
        <w:rPr>
          <w:rStyle w:val="reference-text"/>
          <w:rFonts w:ascii="Arial" w:hAnsi="Arial" w:cs="Arial"/>
          <w:sz w:val="22"/>
          <w:szCs w:val="22"/>
          <w:lang w:val="en"/>
        </w:rPr>
        <w:t xml:space="preserve">Zahra, S. A. &amp; George, G. 2002. Absorptive Capacity: A Review Reconceptualization and Extension. </w:t>
      </w:r>
      <w:r w:rsidRPr="00286B6E">
        <w:rPr>
          <w:rStyle w:val="reference-text"/>
          <w:rFonts w:ascii="Arial" w:hAnsi="Arial" w:cs="Arial"/>
          <w:i/>
          <w:iCs/>
          <w:sz w:val="22"/>
          <w:szCs w:val="22"/>
          <w:lang w:val="en"/>
        </w:rPr>
        <w:t>Academy of Management Review</w:t>
      </w:r>
      <w:r w:rsidR="00787994">
        <w:rPr>
          <w:rStyle w:val="reference-text"/>
          <w:rFonts w:ascii="Arial" w:hAnsi="Arial" w:cs="Arial"/>
          <w:i/>
          <w:iCs/>
          <w:sz w:val="22"/>
          <w:szCs w:val="22"/>
          <w:lang w:val="en"/>
        </w:rPr>
        <w:t>.</w:t>
      </w:r>
      <w:r w:rsidRPr="00286B6E">
        <w:rPr>
          <w:rStyle w:val="reference-text"/>
          <w:rFonts w:ascii="Arial" w:hAnsi="Arial" w:cs="Arial"/>
          <w:sz w:val="22"/>
          <w:szCs w:val="22"/>
          <w:lang w:val="en"/>
        </w:rPr>
        <w:t xml:space="preserve"> 27, 185-203.</w:t>
      </w:r>
    </w:p>
    <w:p w:rsidR="00286B6E" w:rsidRPr="00286B6E" w:rsidRDefault="00286B6E" w:rsidP="00286B6E">
      <w:pPr>
        <w:spacing w:after="300" w:line="360" w:lineRule="auto"/>
        <w:jc w:val="both"/>
        <w:rPr>
          <w:rFonts w:ascii="Arial" w:hAnsi="Arial" w:cs="Arial"/>
          <w:b/>
          <w:noProof/>
          <w:sz w:val="22"/>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6D0AB8" w:rsidRDefault="006D0AB8" w:rsidP="00300C8D">
      <w:pPr>
        <w:spacing w:after="300" w:line="360" w:lineRule="auto"/>
        <w:jc w:val="both"/>
        <w:rPr>
          <w:rFonts w:ascii="Arial" w:hAnsi="Arial" w:cs="Arial"/>
          <w:szCs w:val="22"/>
        </w:rPr>
      </w:pPr>
    </w:p>
    <w:p w:rsidR="00133CE8" w:rsidRPr="00676BA5" w:rsidRDefault="00071910" w:rsidP="00676BA5">
      <w:pPr>
        <w:rPr>
          <w:rFonts w:ascii="Swis721 Th BT" w:hAnsi="Swis721 Th BT"/>
          <w:sz w:val="48"/>
        </w:rPr>
      </w:pPr>
      <w:r w:rsidRPr="00CF1D5F">
        <w:rPr>
          <w:rFonts w:ascii="Swis721 Th BT" w:hAnsi="Swis721 Th BT"/>
          <w:noProof/>
          <w:sz w:val="48"/>
          <w:lang w:val="en-GB" w:eastAsia="en-GB"/>
        </w:rPr>
        <w:lastRenderedPageBreak/>
        <mc:AlternateContent>
          <mc:Choice Requires="wps">
            <w:drawing>
              <wp:anchor distT="0" distB="0" distL="114300" distR="114300" simplePos="0" relativeHeight="251670528" behindDoc="0" locked="0" layoutInCell="1" allowOverlap="1" wp14:anchorId="7C02EBFC" wp14:editId="17241F4E">
                <wp:simplePos x="0" y="0"/>
                <wp:positionH relativeFrom="column">
                  <wp:posOffset>321310</wp:posOffset>
                </wp:positionH>
                <wp:positionV relativeFrom="paragraph">
                  <wp:posOffset>6869430</wp:posOffset>
                </wp:positionV>
                <wp:extent cx="5600700" cy="969645"/>
                <wp:effectExtent l="0" t="0" r="0" b="0"/>
                <wp:wrapTight wrapText="bothSides">
                  <wp:wrapPolygon edited="0">
                    <wp:start x="98" y="566"/>
                    <wp:lineTo x="98" y="20369"/>
                    <wp:lineTo x="21355" y="20369"/>
                    <wp:lineTo x="21355" y="566"/>
                    <wp:lineTo x="98" y="566"/>
                  </wp:wrapPolygon>
                </wp:wrapTight>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7B4694" w:rsidRDefault="007B4694" w:rsidP="00322198">
                            <w:pPr>
                              <w:jc w:val="right"/>
                              <w:rPr>
                                <w:rFonts w:ascii="Arial" w:hAnsi="Arial" w:cs="Calibri"/>
                                <w:color w:val="FFFFFF" w:themeColor="background1"/>
                                <w:sz w:val="20"/>
                                <w:szCs w:val="20"/>
                                <w:lang w:val="en-GB"/>
                              </w:rPr>
                            </w:pPr>
                            <w:r w:rsidRPr="00B24192">
                              <w:rPr>
                                <w:rFonts w:ascii="Arial" w:hAnsi="Arial" w:cs="Calibri"/>
                                <w:color w:val="FFFFFF" w:themeColor="background1"/>
                                <w:sz w:val="20"/>
                                <w:szCs w:val="20"/>
                                <w:lang w:val="en-GB"/>
                              </w:rPr>
                              <w:t>The Enterprise Research Centre is an independent research centre funded by</w:t>
                            </w:r>
                            <w:r>
                              <w:rPr>
                                <w:rFonts w:ascii="Arial" w:hAnsi="Arial" w:cs="Calibri"/>
                                <w:color w:val="FFFFFF" w:themeColor="background1"/>
                                <w:sz w:val="20"/>
                                <w:szCs w:val="20"/>
                                <w:lang w:val="en-GB"/>
                              </w:rPr>
                              <w:br/>
                            </w:r>
                            <w:r w:rsidRPr="00B24192">
                              <w:rPr>
                                <w:rFonts w:ascii="Arial" w:hAnsi="Arial" w:cs="Calibri"/>
                                <w:color w:val="FFFFFF" w:themeColor="background1"/>
                                <w:sz w:val="20"/>
                                <w:szCs w:val="20"/>
                                <w:lang w:val="en-GB"/>
                              </w:rPr>
                              <w:t>the Economic an</w:t>
                            </w:r>
                            <w:r>
                              <w:rPr>
                                <w:rFonts w:ascii="Arial" w:hAnsi="Arial" w:cs="Calibri"/>
                                <w:color w:val="FFFFFF" w:themeColor="background1"/>
                                <w:sz w:val="20"/>
                                <w:szCs w:val="20"/>
                                <w:lang w:val="en-GB"/>
                              </w:rPr>
                              <w:t>d Social Research Council (ESRC);</w:t>
                            </w:r>
                            <w:r w:rsidRPr="00B24192">
                              <w:rPr>
                                <w:rFonts w:ascii="Arial" w:hAnsi="Arial" w:cs="Calibri"/>
                                <w:color w:val="FFFFFF" w:themeColor="background1"/>
                                <w:sz w:val="20"/>
                                <w:szCs w:val="20"/>
                                <w:lang w:val="en-GB"/>
                              </w:rPr>
                              <w:t xml:space="preserve"> the Department for Business</w:t>
                            </w:r>
                            <w:r>
                              <w:rPr>
                                <w:rFonts w:ascii="Arial" w:hAnsi="Arial" w:cs="Calibri"/>
                                <w:color w:val="FFFFFF" w:themeColor="background1"/>
                                <w:sz w:val="20"/>
                                <w:szCs w:val="20"/>
                                <w:lang w:val="en-GB"/>
                              </w:rPr>
                              <w:t>,</w:t>
                            </w:r>
                          </w:p>
                          <w:p w:rsidR="007B4694" w:rsidRDefault="007B4694" w:rsidP="00322198">
                            <w:pPr>
                              <w:jc w:val="right"/>
                              <w:rPr>
                                <w:rFonts w:ascii="Arial" w:hAnsi="Arial" w:cs="Calibri"/>
                                <w:color w:val="FFFFFF" w:themeColor="background1"/>
                                <w:sz w:val="20"/>
                                <w:szCs w:val="20"/>
                                <w:lang w:val="en-GB"/>
                              </w:rPr>
                            </w:pPr>
                            <w:r w:rsidRPr="00B24192">
                              <w:rPr>
                                <w:rFonts w:ascii="Arial" w:hAnsi="Arial" w:cs="Calibri"/>
                                <w:color w:val="FFFFFF" w:themeColor="background1"/>
                                <w:sz w:val="20"/>
                                <w:szCs w:val="20"/>
                                <w:lang w:val="en-GB"/>
                              </w:rPr>
                              <w:t>Innovation &amp; Skills (BIS)</w:t>
                            </w:r>
                            <w:r>
                              <w:rPr>
                                <w:rFonts w:ascii="Arial" w:hAnsi="Arial" w:cs="Calibri"/>
                                <w:color w:val="FFFFFF" w:themeColor="background1"/>
                                <w:sz w:val="20"/>
                                <w:szCs w:val="20"/>
                                <w:lang w:val="en-GB"/>
                              </w:rPr>
                              <w:t>;</w:t>
                            </w:r>
                            <w:r w:rsidRPr="00B24192">
                              <w:rPr>
                                <w:rFonts w:ascii="Arial" w:hAnsi="Arial" w:cs="Calibri"/>
                                <w:color w:val="FFFFFF" w:themeColor="background1"/>
                                <w:sz w:val="20"/>
                                <w:szCs w:val="20"/>
                                <w:lang w:val="en-GB"/>
                              </w:rPr>
                              <w:t xml:space="preserve"> the Technology </w:t>
                            </w:r>
                            <w:r>
                              <w:rPr>
                                <w:rFonts w:ascii="Arial" w:hAnsi="Arial" w:cs="Calibri"/>
                                <w:color w:val="FFFFFF" w:themeColor="background1"/>
                                <w:sz w:val="20"/>
                                <w:szCs w:val="20"/>
                                <w:lang w:val="en-GB"/>
                              </w:rPr>
                              <w:t>Strategy Board (TSB); and,</w:t>
                            </w:r>
                            <w:r w:rsidRPr="00B24192">
                              <w:rPr>
                                <w:rFonts w:ascii="Arial" w:hAnsi="Arial" w:cs="Calibri"/>
                                <w:color w:val="FFFFFF" w:themeColor="background1"/>
                                <w:sz w:val="20"/>
                                <w:szCs w:val="20"/>
                                <w:lang w:val="en-GB"/>
                              </w:rPr>
                              <w:t xml:space="preserve"> through the British</w:t>
                            </w:r>
                            <w:r>
                              <w:rPr>
                                <w:rFonts w:ascii="Arial" w:hAnsi="Arial" w:cs="Calibri"/>
                                <w:color w:val="FFFFFF" w:themeColor="background1"/>
                                <w:sz w:val="20"/>
                                <w:szCs w:val="20"/>
                                <w:lang w:val="en-GB"/>
                              </w:rPr>
                              <w:br/>
                            </w:r>
                            <w:r w:rsidRPr="00B24192">
                              <w:rPr>
                                <w:rFonts w:ascii="Arial" w:hAnsi="Arial" w:cs="Calibri"/>
                                <w:color w:val="FFFFFF" w:themeColor="background1"/>
                                <w:sz w:val="20"/>
                                <w:szCs w:val="20"/>
                                <w:lang w:val="en-GB"/>
                              </w:rPr>
                              <w:t>Bankers Association (BBA), by the Royal Bank of Scotland PLC</w:t>
                            </w:r>
                            <w:r>
                              <w:rPr>
                                <w:rFonts w:ascii="Arial" w:hAnsi="Arial" w:cs="Calibri"/>
                                <w:color w:val="FFFFFF" w:themeColor="background1"/>
                                <w:sz w:val="20"/>
                                <w:szCs w:val="20"/>
                                <w:lang w:val="en-GB"/>
                              </w:rPr>
                              <w:t>;</w:t>
                            </w:r>
                            <w:r w:rsidRPr="00B24192">
                              <w:rPr>
                                <w:rFonts w:ascii="Arial" w:hAnsi="Arial" w:cs="Calibri"/>
                                <w:color w:val="FFFFFF" w:themeColor="background1"/>
                                <w:sz w:val="20"/>
                                <w:szCs w:val="20"/>
                                <w:lang w:val="en-GB"/>
                              </w:rPr>
                              <w:t xml:space="preserve"> </w:t>
                            </w:r>
                            <w:r>
                              <w:rPr>
                                <w:rFonts w:ascii="Arial" w:hAnsi="Arial" w:cs="Calibri"/>
                                <w:color w:val="FFFFFF" w:themeColor="background1"/>
                                <w:sz w:val="20"/>
                                <w:szCs w:val="20"/>
                                <w:lang w:val="en-GB"/>
                              </w:rPr>
                              <w:t>Bank of Scotland PLC;</w:t>
                            </w:r>
                          </w:p>
                          <w:p w:rsidR="007B4694" w:rsidRPr="00EF2707" w:rsidRDefault="007B4694" w:rsidP="00322198">
                            <w:pPr>
                              <w:jc w:val="right"/>
                              <w:rPr>
                                <w:rFonts w:ascii="Arial" w:hAnsi="Arial" w:cs="Calibri"/>
                                <w:color w:val="FFFFFF" w:themeColor="background1"/>
                                <w:sz w:val="20"/>
                                <w:szCs w:val="20"/>
                              </w:rPr>
                            </w:pPr>
                            <w:r w:rsidRPr="00B24192">
                              <w:rPr>
                                <w:rFonts w:ascii="Arial" w:hAnsi="Arial" w:cs="Calibri"/>
                                <w:color w:val="FFFFFF" w:themeColor="background1"/>
                                <w:sz w:val="20"/>
                                <w:szCs w:val="20"/>
                                <w:lang w:val="en-GB"/>
                              </w:rPr>
                              <w:t>HSBC Bank PLC</w:t>
                            </w:r>
                            <w:r>
                              <w:rPr>
                                <w:rFonts w:ascii="Arial" w:hAnsi="Arial" w:cs="Calibri"/>
                                <w:color w:val="FFFFFF" w:themeColor="background1"/>
                                <w:sz w:val="20"/>
                                <w:szCs w:val="20"/>
                                <w:lang w:val="en-GB"/>
                              </w:rPr>
                              <w:t>;</w:t>
                            </w:r>
                            <w:r w:rsidRPr="00B24192">
                              <w:rPr>
                                <w:rFonts w:ascii="Arial" w:hAnsi="Arial" w:cs="Calibri"/>
                                <w:color w:val="FFFFFF" w:themeColor="background1"/>
                                <w:sz w:val="20"/>
                                <w:szCs w:val="20"/>
                                <w:lang w:val="en-GB"/>
                              </w:rPr>
                              <w:t xml:space="preserve"> Barclays Ba</w:t>
                            </w:r>
                            <w:r>
                              <w:rPr>
                                <w:rFonts w:ascii="Arial" w:hAnsi="Arial" w:cs="Calibri"/>
                                <w:color w:val="FFFFFF" w:themeColor="background1"/>
                                <w:sz w:val="20"/>
                                <w:szCs w:val="20"/>
                                <w:lang w:val="en-GB"/>
                              </w:rPr>
                              <w:t>nk PLC and Lloyds TSB Bank PLC.</w:t>
                            </w:r>
                          </w:p>
                          <w:p w:rsidR="007B4694" w:rsidRPr="00EF2707" w:rsidRDefault="007B4694" w:rsidP="00322198">
                            <w:pPr>
                              <w:jc w:val="right"/>
                              <w:rPr>
                                <w:rFonts w:ascii="Abadi MT Condensed Extra Bold" w:hAnsi="Abadi MT Condensed Extra Bold"/>
                                <w:color w:val="FFFFFF" w:themeColor="background1"/>
                                <w:sz w:val="20"/>
                                <w:szCs w:val="20"/>
                              </w:rPr>
                            </w:pPr>
                          </w:p>
                          <w:p w:rsidR="007B4694" w:rsidRPr="00EF2707" w:rsidRDefault="007B4694" w:rsidP="00322198">
                            <w:pPr>
                              <w:rPr>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margin-left:25.3pt;margin-top:540.9pt;width:441pt;height:7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" filled="f" stroked="f">
                <v:textbox inset=",7.2pt,,7.2pt">
                  <w:txbxContent>
                    <w:p w:rsidR="007B4694" w:rsidRDefault="007B4694" w:rsidP="00322198">
                      <w:pPr>
                        <w:jc w:val="right"/>
                        <w:rPr>
                          <w:rFonts w:ascii="Arial" w:hAnsi="Arial" w:cs="Calibri"/>
                          <w:color w:val="FFFFFF" w:themeColor="background1"/>
                          <w:sz w:val="20"/>
                          <w:szCs w:val="20"/>
                          <w:lang w:val="en-GB"/>
                        </w:rPr>
                      </w:pPr>
                      <w:r w:rsidRPr="00B24192">
                        <w:rPr>
                          <w:rFonts w:ascii="Arial" w:hAnsi="Arial" w:cs="Calibri"/>
                          <w:color w:val="FFFFFF" w:themeColor="background1"/>
                          <w:sz w:val="20"/>
                          <w:szCs w:val="20"/>
                          <w:lang w:val="en-GB"/>
                        </w:rPr>
                        <w:t>The Enterprise Research Centre is an independent research centre funded by</w:t>
                      </w:r>
                      <w:r>
                        <w:rPr>
                          <w:rFonts w:ascii="Arial" w:hAnsi="Arial" w:cs="Calibri"/>
                          <w:color w:val="FFFFFF" w:themeColor="background1"/>
                          <w:sz w:val="20"/>
                          <w:szCs w:val="20"/>
                          <w:lang w:val="en-GB"/>
                        </w:rPr>
                        <w:br/>
                      </w:r>
                      <w:r w:rsidRPr="00B24192">
                        <w:rPr>
                          <w:rFonts w:ascii="Arial" w:hAnsi="Arial" w:cs="Calibri"/>
                          <w:color w:val="FFFFFF" w:themeColor="background1"/>
                          <w:sz w:val="20"/>
                          <w:szCs w:val="20"/>
                          <w:lang w:val="en-GB"/>
                        </w:rPr>
                        <w:t>the Economic an</w:t>
                      </w:r>
                      <w:r>
                        <w:rPr>
                          <w:rFonts w:ascii="Arial" w:hAnsi="Arial" w:cs="Calibri"/>
                          <w:color w:val="FFFFFF" w:themeColor="background1"/>
                          <w:sz w:val="20"/>
                          <w:szCs w:val="20"/>
                          <w:lang w:val="en-GB"/>
                        </w:rPr>
                        <w:t>d Social Research Council (ESRC);</w:t>
                      </w:r>
                      <w:r w:rsidRPr="00B24192">
                        <w:rPr>
                          <w:rFonts w:ascii="Arial" w:hAnsi="Arial" w:cs="Calibri"/>
                          <w:color w:val="FFFFFF" w:themeColor="background1"/>
                          <w:sz w:val="20"/>
                          <w:szCs w:val="20"/>
                          <w:lang w:val="en-GB"/>
                        </w:rPr>
                        <w:t xml:space="preserve"> the Department for Business</w:t>
                      </w:r>
                      <w:r>
                        <w:rPr>
                          <w:rFonts w:ascii="Arial" w:hAnsi="Arial" w:cs="Calibri"/>
                          <w:color w:val="FFFFFF" w:themeColor="background1"/>
                          <w:sz w:val="20"/>
                          <w:szCs w:val="20"/>
                          <w:lang w:val="en-GB"/>
                        </w:rPr>
                        <w:t>,</w:t>
                      </w:r>
                    </w:p>
                    <w:p w:rsidR="007B4694" w:rsidRDefault="007B4694" w:rsidP="00322198">
                      <w:pPr>
                        <w:jc w:val="right"/>
                        <w:rPr>
                          <w:rFonts w:ascii="Arial" w:hAnsi="Arial" w:cs="Calibri"/>
                          <w:color w:val="FFFFFF" w:themeColor="background1"/>
                          <w:sz w:val="20"/>
                          <w:szCs w:val="20"/>
                          <w:lang w:val="en-GB"/>
                        </w:rPr>
                      </w:pPr>
                      <w:r w:rsidRPr="00B24192">
                        <w:rPr>
                          <w:rFonts w:ascii="Arial" w:hAnsi="Arial" w:cs="Calibri"/>
                          <w:color w:val="FFFFFF" w:themeColor="background1"/>
                          <w:sz w:val="20"/>
                          <w:szCs w:val="20"/>
                          <w:lang w:val="en-GB"/>
                        </w:rPr>
                        <w:t>Innovation &amp; Skills (BIS)</w:t>
                      </w:r>
                      <w:r>
                        <w:rPr>
                          <w:rFonts w:ascii="Arial" w:hAnsi="Arial" w:cs="Calibri"/>
                          <w:color w:val="FFFFFF" w:themeColor="background1"/>
                          <w:sz w:val="20"/>
                          <w:szCs w:val="20"/>
                          <w:lang w:val="en-GB"/>
                        </w:rPr>
                        <w:t>;</w:t>
                      </w:r>
                      <w:r w:rsidRPr="00B24192">
                        <w:rPr>
                          <w:rFonts w:ascii="Arial" w:hAnsi="Arial" w:cs="Calibri"/>
                          <w:color w:val="FFFFFF" w:themeColor="background1"/>
                          <w:sz w:val="20"/>
                          <w:szCs w:val="20"/>
                          <w:lang w:val="en-GB"/>
                        </w:rPr>
                        <w:t xml:space="preserve"> the Technology </w:t>
                      </w:r>
                      <w:r>
                        <w:rPr>
                          <w:rFonts w:ascii="Arial" w:hAnsi="Arial" w:cs="Calibri"/>
                          <w:color w:val="FFFFFF" w:themeColor="background1"/>
                          <w:sz w:val="20"/>
                          <w:szCs w:val="20"/>
                          <w:lang w:val="en-GB"/>
                        </w:rPr>
                        <w:t>Strategy Board (TSB); and,</w:t>
                      </w:r>
                      <w:r w:rsidRPr="00B24192">
                        <w:rPr>
                          <w:rFonts w:ascii="Arial" w:hAnsi="Arial" w:cs="Calibri"/>
                          <w:color w:val="FFFFFF" w:themeColor="background1"/>
                          <w:sz w:val="20"/>
                          <w:szCs w:val="20"/>
                          <w:lang w:val="en-GB"/>
                        </w:rPr>
                        <w:t xml:space="preserve"> through the British</w:t>
                      </w:r>
                      <w:r>
                        <w:rPr>
                          <w:rFonts w:ascii="Arial" w:hAnsi="Arial" w:cs="Calibri"/>
                          <w:color w:val="FFFFFF" w:themeColor="background1"/>
                          <w:sz w:val="20"/>
                          <w:szCs w:val="20"/>
                          <w:lang w:val="en-GB"/>
                        </w:rPr>
                        <w:br/>
                      </w:r>
                      <w:r w:rsidRPr="00B24192">
                        <w:rPr>
                          <w:rFonts w:ascii="Arial" w:hAnsi="Arial" w:cs="Calibri"/>
                          <w:color w:val="FFFFFF" w:themeColor="background1"/>
                          <w:sz w:val="20"/>
                          <w:szCs w:val="20"/>
                          <w:lang w:val="en-GB"/>
                        </w:rPr>
                        <w:t>Bankers Association (BBA), by the Royal Bank of Scotland PLC</w:t>
                      </w:r>
                      <w:r>
                        <w:rPr>
                          <w:rFonts w:ascii="Arial" w:hAnsi="Arial" w:cs="Calibri"/>
                          <w:color w:val="FFFFFF" w:themeColor="background1"/>
                          <w:sz w:val="20"/>
                          <w:szCs w:val="20"/>
                          <w:lang w:val="en-GB"/>
                        </w:rPr>
                        <w:t>;</w:t>
                      </w:r>
                      <w:r w:rsidRPr="00B24192">
                        <w:rPr>
                          <w:rFonts w:ascii="Arial" w:hAnsi="Arial" w:cs="Calibri"/>
                          <w:color w:val="FFFFFF" w:themeColor="background1"/>
                          <w:sz w:val="20"/>
                          <w:szCs w:val="20"/>
                          <w:lang w:val="en-GB"/>
                        </w:rPr>
                        <w:t xml:space="preserve"> </w:t>
                      </w:r>
                      <w:r>
                        <w:rPr>
                          <w:rFonts w:ascii="Arial" w:hAnsi="Arial" w:cs="Calibri"/>
                          <w:color w:val="FFFFFF" w:themeColor="background1"/>
                          <w:sz w:val="20"/>
                          <w:szCs w:val="20"/>
                          <w:lang w:val="en-GB"/>
                        </w:rPr>
                        <w:t>Bank of Scotland PLC;</w:t>
                      </w:r>
                    </w:p>
                    <w:p w:rsidR="007B4694" w:rsidRPr="00EF2707" w:rsidRDefault="007B4694" w:rsidP="00322198">
                      <w:pPr>
                        <w:jc w:val="right"/>
                        <w:rPr>
                          <w:rFonts w:ascii="Arial" w:hAnsi="Arial" w:cs="Calibri"/>
                          <w:color w:val="FFFFFF" w:themeColor="background1"/>
                          <w:sz w:val="20"/>
                          <w:szCs w:val="20"/>
                        </w:rPr>
                      </w:pPr>
                      <w:r w:rsidRPr="00B24192">
                        <w:rPr>
                          <w:rFonts w:ascii="Arial" w:hAnsi="Arial" w:cs="Calibri"/>
                          <w:color w:val="FFFFFF" w:themeColor="background1"/>
                          <w:sz w:val="20"/>
                          <w:szCs w:val="20"/>
                          <w:lang w:val="en-GB"/>
                        </w:rPr>
                        <w:t>HSBC Bank PLC</w:t>
                      </w:r>
                      <w:r>
                        <w:rPr>
                          <w:rFonts w:ascii="Arial" w:hAnsi="Arial" w:cs="Calibri"/>
                          <w:color w:val="FFFFFF" w:themeColor="background1"/>
                          <w:sz w:val="20"/>
                          <w:szCs w:val="20"/>
                          <w:lang w:val="en-GB"/>
                        </w:rPr>
                        <w:t>;</w:t>
                      </w:r>
                      <w:r w:rsidRPr="00B24192">
                        <w:rPr>
                          <w:rFonts w:ascii="Arial" w:hAnsi="Arial" w:cs="Calibri"/>
                          <w:color w:val="FFFFFF" w:themeColor="background1"/>
                          <w:sz w:val="20"/>
                          <w:szCs w:val="20"/>
                          <w:lang w:val="en-GB"/>
                        </w:rPr>
                        <w:t xml:space="preserve"> Barclays Ba</w:t>
                      </w:r>
                      <w:r>
                        <w:rPr>
                          <w:rFonts w:ascii="Arial" w:hAnsi="Arial" w:cs="Calibri"/>
                          <w:color w:val="FFFFFF" w:themeColor="background1"/>
                          <w:sz w:val="20"/>
                          <w:szCs w:val="20"/>
                          <w:lang w:val="en-GB"/>
                        </w:rPr>
                        <w:t>nk PLC and Lloyds TSB Bank PLC.</w:t>
                      </w:r>
                    </w:p>
                    <w:p w:rsidR="007B4694" w:rsidRPr="00EF2707" w:rsidRDefault="007B4694" w:rsidP="00322198">
                      <w:pPr>
                        <w:jc w:val="right"/>
                        <w:rPr>
                          <w:rFonts w:ascii="Abadi MT Condensed Extra Bold" w:hAnsi="Abadi MT Condensed Extra Bold"/>
                          <w:color w:val="FFFFFF" w:themeColor="background1"/>
                          <w:sz w:val="20"/>
                          <w:szCs w:val="20"/>
                        </w:rPr>
                      </w:pPr>
                    </w:p>
                    <w:p w:rsidR="007B4694" w:rsidRPr="00EF2707" w:rsidRDefault="007B4694" w:rsidP="00322198">
                      <w:pPr>
                        <w:rPr>
                          <w:sz w:val="20"/>
                          <w:szCs w:val="20"/>
                        </w:rPr>
                      </w:pPr>
                    </w:p>
                  </w:txbxContent>
                </v:textbox>
                <w10:wrap type="tight"/>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5FD1B772" wp14:editId="0B776E87">
                <wp:simplePos x="0" y="0"/>
                <wp:positionH relativeFrom="column">
                  <wp:posOffset>3064510</wp:posOffset>
                </wp:positionH>
                <wp:positionV relativeFrom="paragraph">
                  <wp:posOffset>3783330</wp:posOffset>
                </wp:positionV>
                <wp:extent cx="2857500" cy="1600200"/>
                <wp:effectExtent l="0" t="0" r="0" b="0"/>
                <wp:wrapTight wrapText="bothSides">
                  <wp:wrapPolygon edited="0">
                    <wp:start x="192" y="343"/>
                    <wp:lineTo x="192" y="20914"/>
                    <wp:lineTo x="21120" y="20914"/>
                    <wp:lineTo x="21120" y="343"/>
                    <wp:lineTo x="192" y="343"/>
                  </wp:wrapPolygon>
                </wp:wrapTight>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id="5">
                        <w:txbxContent>
                          <w:p w:rsidR="007B4694" w:rsidRPr="003B3AD5" w:rsidRDefault="007B4694" w:rsidP="005206BB">
                            <w:pPr>
                              <w:jc w:val="right"/>
                              <w:rPr>
                                <w:rFonts w:ascii="Arial" w:hAnsi="Arial" w:cs="Arial"/>
                                <w:color w:val="FFFFFF" w:themeColor="background1"/>
                              </w:rPr>
                            </w:pPr>
                            <w:r w:rsidRPr="003B3AD5">
                              <w:rPr>
                                <w:rFonts w:ascii="Arial" w:hAnsi="Arial" w:cs="Arial"/>
                                <w:color w:val="FFFFFF" w:themeColor="background1"/>
                              </w:rPr>
                              <w:t xml:space="preserve">Centre Manager </w:t>
                            </w:r>
                          </w:p>
                          <w:p w:rsidR="007B4694" w:rsidRPr="003B3AD5" w:rsidRDefault="007B4694" w:rsidP="005206BB">
                            <w:pPr>
                              <w:jc w:val="right"/>
                              <w:rPr>
                                <w:rFonts w:ascii="Arial" w:hAnsi="Arial" w:cs="Arial"/>
                                <w:color w:val="FFFFFF" w:themeColor="background1"/>
                              </w:rPr>
                            </w:pPr>
                            <w:r w:rsidRPr="003B3AD5">
                              <w:rPr>
                                <w:rFonts w:ascii="Arial" w:hAnsi="Arial" w:cs="Arial"/>
                                <w:color w:val="FFFFFF" w:themeColor="background1"/>
                              </w:rPr>
                              <w:t>Enterprise Research Centre</w:t>
                            </w:r>
                          </w:p>
                          <w:p w:rsidR="007B4694" w:rsidRPr="003B3AD5" w:rsidRDefault="007B4694" w:rsidP="005206BB">
                            <w:pPr>
                              <w:jc w:val="right"/>
                              <w:rPr>
                                <w:rFonts w:ascii="Arial" w:hAnsi="Arial" w:cs="Arial"/>
                                <w:color w:val="FFFFFF" w:themeColor="background1"/>
                              </w:rPr>
                            </w:pPr>
                            <w:r>
                              <w:rPr>
                                <w:rFonts w:ascii="Arial" w:hAnsi="Arial" w:cs="Arial"/>
                                <w:color w:val="FFFFFF" w:themeColor="background1"/>
                              </w:rPr>
                              <w:t>Warwick</w:t>
                            </w:r>
                            <w:r w:rsidRPr="003B3AD5">
                              <w:rPr>
                                <w:rFonts w:ascii="Arial" w:hAnsi="Arial" w:cs="Arial"/>
                                <w:color w:val="FFFFFF" w:themeColor="background1"/>
                              </w:rPr>
                              <w:t xml:space="preserve"> Business School </w:t>
                            </w:r>
                          </w:p>
                          <w:p w:rsidR="007B4694" w:rsidRPr="003B3AD5" w:rsidRDefault="007B4694" w:rsidP="005206BB">
                            <w:pPr>
                              <w:jc w:val="right"/>
                              <w:rPr>
                                <w:rFonts w:ascii="Arial" w:hAnsi="Arial" w:cs="Arial"/>
                                <w:color w:val="FFFFFF" w:themeColor="background1"/>
                              </w:rPr>
                            </w:pPr>
                            <w:r>
                              <w:rPr>
                                <w:rFonts w:ascii="Arial" w:hAnsi="Arial" w:cs="Arial"/>
                                <w:color w:val="FFFFFF" w:themeColor="background1"/>
                              </w:rPr>
                              <w:t>Coventry, CV4 7AL</w:t>
                            </w:r>
                          </w:p>
                          <w:p w:rsidR="007B4694" w:rsidRPr="003B3AD5" w:rsidRDefault="007B4694" w:rsidP="005206BB">
                            <w:pPr>
                              <w:jc w:val="right"/>
                              <w:rPr>
                                <w:rFonts w:ascii="Arial" w:hAnsi="Arial" w:cs="Arial"/>
                                <w:color w:val="FFFFFF" w:themeColor="background1"/>
                              </w:rPr>
                            </w:pPr>
                            <w:r>
                              <w:rPr>
                                <w:rFonts w:ascii="Arial" w:hAnsi="Arial" w:cs="Arial"/>
                                <w:color w:val="FFFFFF" w:themeColor="background1"/>
                              </w:rPr>
                              <w:t>Enquiries@enter</w:t>
                            </w:r>
                            <w:r w:rsidRPr="003B3AD5">
                              <w:rPr>
                                <w:rFonts w:ascii="Arial" w:hAnsi="Arial" w:cs="Arial"/>
                                <w:color w:val="FFFFFF" w:themeColor="background1"/>
                              </w:rPr>
                              <w:t>priseresearch.ac.uk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241.3pt;margin-top:297.9pt;width:225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" filled="f" stroked="f">
                <v:textbox style="mso-next-textbox:#Text Box 27" inset=",7.2pt,,7.2pt">
                  <w:txbxContent>
                    <w:p w:rsidR="007B4694" w:rsidRPr="003B3AD5" w:rsidRDefault="007B4694" w:rsidP="005206BB">
                      <w:pPr>
                        <w:jc w:val="right"/>
                        <w:rPr>
                          <w:rFonts w:ascii="Arial" w:hAnsi="Arial" w:cs="Arial"/>
                          <w:color w:val="FFFFFF" w:themeColor="background1"/>
                        </w:rPr>
                      </w:pPr>
                      <w:r w:rsidRPr="003B3AD5">
                        <w:rPr>
                          <w:rFonts w:ascii="Arial" w:hAnsi="Arial" w:cs="Arial"/>
                          <w:color w:val="FFFFFF" w:themeColor="background1"/>
                        </w:rPr>
                        <w:t xml:space="preserve">Centre Manager </w:t>
                      </w:r>
                    </w:p>
                    <w:p w:rsidR="007B4694" w:rsidRPr="003B3AD5" w:rsidRDefault="007B4694" w:rsidP="005206BB">
                      <w:pPr>
                        <w:jc w:val="right"/>
                        <w:rPr>
                          <w:rFonts w:ascii="Arial" w:hAnsi="Arial" w:cs="Arial"/>
                          <w:color w:val="FFFFFF" w:themeColor="background1"/>
                        </w:rPr>
                      </w:pPr>
                      <w:r w:rsidRPr="003B3AD5">
                        <w:rPr>
                          <w:rFonts w:ascii="Arial" w:hAnsi="Arial" w:cs="Arial"/>
                          <w:color w:val="FFFFFF" w:themeColor="background1"/>
                        </w:rPr>
                        <w:t>Enterprise Research Centre</w:t>
                      </w:r>
                    </w:p>
                    <w:p w:rsidR="007B4694" w:rsidRPr="003B3AD5" w:rsidRDefault="007B4694" w:rsidP="005206BB">
                      <w:pPr>
                        <w:jc w:val="right"/>
                        <w:rPr>
                          <w:rFonts w:ascii="Arial" w:hAnsi="Arial" w:cs="Arial"/>
                          <w:color w:val="FFFFFF" w:themeColor="background1"/>
                        </w:rPr>
                      </w:pPr>
                      <w:r>
                        <w:rPr>
                          <w:rFonts w:ascii="Arial" w:hAnsi="Arial" w:cs="Arial"/>
                          <w:color w:val="FFFFFF" w:themeColor="background1"/>
                        </w:rPr>
                        <w:t>Warwick</w:t>
                      </w:r>
                      <w:r w:rsidRPr="003B3AD5">
                        <w:rPr>
                          <w:rFonts w:ascii="Arial" w:hAnsi="Arial" w:cs="Arial"/>
                          <w:color w:val="FFFFFF" w:themeColor="background1"/>
                        </w:rPr>
                        <w:t xml:space="preserve"> Business School </w:t>
                      </w:r>
                    </w:p>
                    <w:p w:rsidR="007B4694" w:rsidRPr="003B3AD5" w:rsidRDefault="007B4694" w:rsidP="005206BB">
                      <w:pPr>
                        <w:jc w:val="right"/>
                        <w:rPr>
                          <w:rFonts w:ascii="Arial" w:hAnsi="Arial" w:cs="Arial"/>
                          <w:color w:val="FFFFFF" w:themeColor="background1"/>
                        </w:rPr>
                      </w:pPr>
                      <w:r>
                        <w:rPr>
                          <w:rFonts w:ascii="Arial" w:hAnsi="Arial" w:cs="Arial"/>
                          <w:color w:val="FFFFFF" w:themeColor="background1"/>
                        </w:rPr>
                        <w:t>Coventry, CV4 7AL</w:t>
                      </w:r>
                    </w:p>
                    <w:p w:rsidR="007B4694" w:rsidRPr="003B3AD5" w:rsidRDefault="007B4694" w:rsidP="005206BB">
                      <w:pPr>
                        <w:jc w:val="right"/>
                        <w:rPr>
                          <w:rFonts w:ascii="Arial" w:hAnsi="Arial" w:cs="Arial"/>
                          <w:color w:val="FFFFFF" w:themeColor="background1"/>
                        </w:rPr>
                      </w:pPr>
                      <w:r>
                        <w:rPr>
                          <w:rFonts w:ascii="Arial" w:hAnsi="Arial" w:cs="Arial"/>
                          <w:color w:val="FFFFFF" w:themeColor="background1"/>
                        </w:rPr>
                        <w:t>Enquiries@enter</w:t>
                      </w:r>
                      <w:r w:rsidRPr="003B3AD5">
                        <w:rPr>
                          <w:rFonts w:ascii="Arial" w:hAnsi="Arial" w:cs="Arial"/>
                          <w:color w:val="FFFFFF" w:themeColor="background1"/>
                        </w:rPr>
                        <w:t>priseresearch.ac.uk</w:t>
                      </w:r>
                    </w:p>
                  </w:txbxContent>
                </v:textbox>
                <w10:wrap type="tight"/>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7FD7E9E9" wp14:editId="19358AAE">
                <wp:simplePos x="0" y="0"/>
                <wp:positionH relativeFrom="column">
                  <wp:posOffset>3178810</wp:posOffset>
                </wp:positionH>
                <wp:positionV relativeFrom="paragraph">
                  <wp:posOffset>5269230</wp:posOffset>
                </wp:positionV>
                <wp:extent cx="2743200" cy="1257300"/>
                <wp:effectExtent l="0" t="0" r="0" b="0"/>
                <wp:wrapTight wrapText="bothSides">
                  <wp:wrapPolygon edited="0">
                    <wp:start x="200" y="436"/>
                    <wp:lineTo x="200" y="20509"/>
                    <wp:lineTo x="21200" y="20509"/>
                    <wp:lineTo x="21200" y="436"/>
                    <wp:lineTo x="200" y="436"/>
                  </wp:wrapPolygon>
                </wp:wrapTight>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7B4694" w:rsidRPr="00242FD2" w:rsidRDefault="007B4694" w:rsidP="005206BB">
                            <w:pPr>
                              <w:jc w:val="right"/>
                              <w:rPr>
                                <w:rFonts w:ascii="Arial" w:hAnsi="Arial" w:cs="Arial"/>
                                <w:color w:val="FFFFFF"/>
                              </w:rPr>
                            </w:pPr>
                            <w:r w:rsidRPr="00242FD2">
                              <w:rPr>
                                <w:rFonts w:ascii="Arial" w:hAnsi="Arial" w:cs="Arial"/>
                                <w:color w:val="FFFFFF"/>
                              </w:rPr>
                              <w:t xml:space="preserve">Centre Manager </w:t>
                            </w:r>
                          </w:p>
                          <w:p w:rsidR="007B4694" w:rsidRPr="00242FD2" w:rsidRDefault="007B4694" w:rsidP="005206BB">
                            <w:pPr>
                              <w:jc w:val="right"/>
                              <w:rPr>
                                <w:rFonts w:ascii="Arial" w:hAnsi="Arial" w:cs="Arial"/>
                                <w:color w:val="FFFFFF"/>
                              </w:rPr>
                            </w:pPr>
                            <w:r w:rsidRPr="00242FD2">
                              <w:rPr>
                                <w:rFonts w:ascii="Arial" w:hAnsi="Arial" w:cs="Arial"/>
                                <w:color w:val="FFFFFF"/>
                              </w:rPr>
                              <w:t>Enterprise Research Centre</w:t>
                            </w:r>
                          </w:p>
                          <w:p w:rsidR="007B4694" w:rsidRPr="00242FD2" w:rsidRDefault="007B4694" w:rsidP="005206BB">
                            <w:pPr>
                              <w:jc w:val="right"/>
                              <w:rPr>
                                <w:rFonts w:ascii="Arial" w:hAnsi="Arial" w:cs="Arial"/>
                                <w:color w:val="FFFFFF"/>
                              </w:rPr>
                            </w:pPr>
                            <w:r w:rsidRPr="00242FD2">
                              <w:rPr>
                                <w:rFonts w:ascii="Arial" w:hAnsi="Arial" w:cs="Arial"/>
                                <w:color w:val="FFFFFF"/>
                              </w:rPr>
                              <w:t xml:space="preserve">Aston Business School </w:t>
                            </w:r>
                          </w:p>
                          <w:p w:rsidR="007B4694" w:rsidRPr="00242FD2" w:rsidRDefault="007B4694" w:rsidP="005206BB">
                            <w:pPr>
                              <w:jc w:val="right"/>
                              <w:rPr>
                                <w:rFonts w:ascii="Arial" w:hAnsi="Arial" w:cs="Arial"/>
                                <w:color w:val="FFFFFF"/>
                              </w:rPr>
                            </w:pPr>
                            <w:r w:rsidRPr="00242FD2">
                              <w:rPr>
                                <w:rFonts w:ascii="Arial" w:hAnsi="Arial" w:cs="Arial"/>
                                <w:color w:val="FFFFFF"/>
                              </w:rPr>
                              <w:t>Birmingham, B1 7ET</w:t>
                            </w:r>
                          </w:p>
                          <w:p w:rsidR="007B4694" w:rsidRPr="00242FD2" w:rsidRDefault="007B4694" w:rsidP="005206BB">
                            <w:pPr>
                              <w:jc w:val="right"/>
                              <w:rPr>
                                <w:rFonts w:ascii="Arial" w:hAnsi="Arial" w:cs="Arial"/>
                                <w:color w:val="FFFFFF" w:themeColor="background1"/>
                              </w:rPr>
                            </w:pPr>
                            <w:r>
                              <w:rPr>
                                <w:rFonts w:ascii="Arial" w:hAnsi="Arial" w:cs="Arial"/>
                                <w:color w:val="FFFFFF"/>
                              </w:rPr>
                              <w:t>Enquiries@enter</w:t>
                            </w:r>
                            <w:r w:rsidRPr="00242FD2">
                              <w:rPr>
                                <w:rFonts w:ascii="Arial" w:hAnsi="Arial" w:cs="Arial"/>
                                <w:color w:val="FFFFFF"/>
                              </w:rPr>
                              <w:t>priseresearch.ac.uk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250.3pt;margin-top:414.9pt;width:3in;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" filled="f" stroked="f">
                <v:textbox inset=",7.2pt,,7.2pt">
                  <w:txbxContent>
                    <w:p w:rsidR="007B4694" w:rsidRPr="00242FD2" w:rsidRDefault="007B4694" w:rsidP="005206BB">
                      <w:pPr>
                        <w:jc w:val="right"/>
                        <w:rPr>
                          <w:rFonts w:ascii="Arial" w:hAnsi="Arial" w:cs="Arial"/>
                          <w:color w:val="FFFFFF"/>
                        </w:rPr>
                      </w:pPr>
                      <w:r w:rsidRPr="00242FD2">
                        <w:rPr>
                          <w:rFonts w:ascii="Arial" w:hAnsi="Arial" w:cs="Arial"/>
                          <w:color w:val="FFFFFF"/>
                        </w:rPr>
                        <w:t xml:space="preserve">Centre Manager </w:t>
                      </w:r>
                    </w:p>
                    <w:p w:rsidR="007B4694" w:rsidRPr="00242FD2" w:rsidRDefault="007B4694" w:rsidP="005206BB">
                      <w:pPr>
                        <w:jc w:val="right"/>
                        <w:rPr>
                          <w:rFonts w:ascii="Arial" w:hAnsi="Arial" w:cs="Arial"/>
                          <w:color w:val="FFFFFF"/>
                        </w:rPr>
                      </w:pPr>
                      <w:r w:rsidRPr="00242FD2">
                        <w:rPr>
                          <w:rFonts w:ascii="Arial" w:hAnsi="Arial" w:cs="Arial"/>
                          <w:color w:val="FFFFFF"/>
                        </w:rPr>
                        <w:t>Enterprise Research Centre</w:t>
                      </w:r>
                    </w:p>
                    <w:p w:rsidR="007B4694" w:rsidRPr="00242FD2" w:rsidRDefault="007B4694" w:rsidP="005206BB">
                      <w:pPr>
                        <w:jc w:val="right"/>
                        <w:rPr>
                          <w:rFonts w:ascii="Arial" w:hAnsi="Arial" w:cs="Arial"/>
                          <w:color w:val="FFFFFF"/>
                        </w:rPr>
                      </w:pPr>
                      <w:r w:rsidRPr="00242FD2">
                        <w:rPr>
                          <w:rFonts w:ascii="Arial" w:hAnsi="Arial" w:cs="Arial"/>
                          <w:color w:val="FFFFFF"/>
                        </w:rPr>
                        <w:t xml:space="preserve">Aston Business School </w:t>
                      </w:r>
                    </w:p>
                    <w:p w:rsidR="007B4694" w:rsidRPr="00242FD2" w:rsidRDefault="007B4694" w:rsidP="005206BB">
                      <w:pPr>
                        <w:jc w:val="right"/>
                        <w:rPr>
                          <w:rFonts w:ascii="Arial" w:hAnsi="Arial" w:cs="Arial"/>
                          <w:color w:val="FFFFFF"/>
                        </w:rPr>
                      </w:pPr>
                      <w:r w:rsidRPr="00242FD2">
                        <w:rPr>
                          <w:rFonts w:ascii="Arial" w:hAnsi="Arial" w:cs="Arial"/>
                          <w:color w:val="FFFFFF"/>
                        </w:rPr>
                        <w:t>Birmingham, B1 7ET</w:t>
                      </w:r>
                    </w:p>
                    <w:p w:rsidR="007B4694" w:rsidRPr="00242FD2" w:rsidRDefault="007B4694" w:rsidP="005206BB">
                      <w:pPr>
                        <w:jc w:val="right"/>
                        <w:rPr>
                          <w:rFonts w:ascii="Arial" w:hAnsi="Arial" w:cs="Arial"/>
                          <w:color w:val="FFFFFF" w:themeColor="background1"/>
                        </w:rPr>
                      </w:pPr>
                      <w:r>
                        <w:rPr>
                          <w:rFonts w:ascii="Arial" w:hAnsi="Arial" w:cs="Arial"/>
                          <w:color w:val="FFFFFF"/>
                        </w:rPr>
                        <w:t>Enquiries@enter</w:t>
                      </w:r>
                      <w:r w:rsidRPr="00242FD2">
                        <w:rPr>
                          <w:rFonts w:ascii="Arial" w:hAnsi="Arial" w:cs="Arial"/>
                          <w:color w:val="FFFFFF"/>
                        </w:rPr>
                        <w:t>priseresearch.ac.uk</w:t>
                      </w:r>
                    </w:p>
                  </w:txbxContent>
                </v:textbox>
                <w10:wrap type="tight"/>
              </v:shape>
            </w:pict>
          </mc:Fallback>
        </mc:AlternateContent>
      </w:r>
      <w:r w:rsidR="00316796">
        <w:rPr>
          <w:noProof/>
          <w:lang w:val="en-GB" w:eastAsia="en-GB"/>
        </w:rPr>
        <w:drawing>
          <wp:anchor distT="0" distB="0" distL="114300" distR="114300" simplePos="0" relativeHeight="251662336" behindDoc="0" locked="0" layoutInCell="1" allowOverlap="1" wp14:anchorId="3615F26E" wp14:editId="030228CD">
            <wp:simplePos x="0" y="0"/>
            <wp:positionH relativeFrom="column">
              <wp:posOffset>-1444625</wp:posOffset>
            </wp:positionH>
            <wp:positionV relativeFrom="paragraph">
              <wp:posOffset>-1589405</wp:posOffset>
            </wp:positionV>
            <wp:extent cx="7553960" cy="1068959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Mac HD:Users:issumc:Pictures:Untitled2.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553960"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BA5">
        <w:rPr>
          <w:noProof/>
          <w:lang w:val="en-GB" w:eastAsia="en-GB"/>
        </w:rPr>
        <mc:AlternateContent>
          <mc:Choice Requires="wps">
            <w:drawing>
              <wp:anchor distT="0" distB="0" distL="114300" distR="114300" simplePos="0" relativeHeight="251665408" behindDoc="0" locked="0" layoutInCell="1" allowOverlap="1" wp14:anchorId="04E3F4DA" wp14:editId="38350167">
                <wp:simplePos x="0" y="0"/>
                <wp:positionH relativeFrom="column">
                  <wp:posOffset>6116320</wp:posOffset>
                </wp:positionH>
                <wp:positionV relativeFrom="paragraph">
                  <wp:posOffset>7110095</wp:posOffset>
                </wp:positionV>
                <wp:extent cx="114300" cy="114300"/>
                <wp:effectExtent l="635" t="2540" r="0" b="0"/>
                <wp:wrapTight wrapText="bothSides">
                  <wp:wrapPolygon edited="0">
                    <wp:start x="0" y="0"/>
                    <wp:lineTo x="21600" y="0"/>
                    <wp:lineTo x="21600" y="21600"/>
                    <wp:lineTo x="0" y="21600"/>
                    <wp:lineTo x="0" y="0"/>
                  </wp:wrapPolygon>
                </wp:wrapTight>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linkedTxbx id="5"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481.6pt;margin-top:559.8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" filled="f" stroked="f">
                <v:textbox inset=",7.2pt,,7.2pt">
                  <w:txbxContent/>
                </v:textbox>
                <w10:wrap type="tight"/>
              </v:shape>
            </w:pict>
          </mc:Fallback>
        </mc:AlternateContent>
      </w:r>
    </w:p>
    <w:sectPr w:rsidR="00133CE8" w:rsidRPr="00676BA5" w:rsidSect="00322198">
      <w:headerReference w:type="default" r:id="rId19"/>
      <w:footerReference w:type="even" r:id="rId20"/>
      <w:footerReference w:type="default" r:id="rId21"/>
      <w:endnotePr>
        <w:numFmt w:val="decimal"/>
      </w:endnotePr>
      <w:pgSz w:w="11899" w:h="16838"/>
      <w:pgMar w:top="1440" w:right="2275" w:bottom="720" w:left="2275" w:header="0" w:footer="28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2D8" w:rsidRDefault="002512D8">
      <w:r>
        <w:separator/>
      </w:r>
    </w:p>
  </w:endnote>
  <w:endnote w:type="continuationSeparator" w:id="0">
    <w:p w:rsidR="002512D8" w:rsidRDefault="00251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wis721 Lt BT">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wis721 Th BT">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badi MT Condensed Extra Bold">
    <w:altName w:val="Gill Sans Ultra Bold Condensed"/>
    <w:charset w:val="00"/>
    <w:family w:val="auto"/>
    <w:pitch w:val="variable"/>
    <w:sig w:usb0="00000003" w:usb1="00000000" w:usb2="00000000" w:usb3="00000000" w:csb0="00000001" w:csb1="00000000"/>
  </w:font>
  <w:font w:name="Arial SF MT">
    <w:altName w:val="Times New Roman"/>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694" w:rsidRDefault="007B4694" w:rsidP="005206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4694" w:rsidRDefault="007B4694" w:rsidP="00180B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694" w:rsidRDefault="007B4694" w:rsidP="005206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7279">
      <w:rPr>
        <w:rStyle w:val="PageNumber"/>
        <w:noProof/>
      </w:rPr>
      <w:t>6</w:t>
    </w:r>
    <w:r>
      <w:rPr>
        <w:rStyle w:val="PageNumber"/>
      </w:rPr>
      <w:fldChar w:fldCharType="end"/>
    </w:r>
  </w:p>
  <w:p w:rsidR="007B4694" w:rsidRPr="00BC482B" w:rsidRDefault="007B4694" w:rsidP="00180B3B">
    <w:pPr>
      <w:spacing w:after="80"/>
      <w:ind w:right="360"/>
      <w:jc w:val="center"/>
      <w:rPr>
        <w:rFonts w:ascii="Arial SF MT" w:hAnsi="Arial SF MT"/>
        <w:sz w:val="14"/>
      </w:rPr>
    </w:pPr>
    <w:r>
      <w:rPr>
        <w:noProof/>
        <w:lang w:val="en-GB" w:eastAsia="en-GB"/>
      </w:rPr>
      <w:drawing>
        <wp:anchor distT="0" distB="0" distL="114300" distR="114300" simplePos="0" relativeHeight="251658240" behindDoc="0" locked="0" layoutInCell="1" allowOverlap="1" wp14:anchorId="03CC3373" wp14:editId="4BDE8790">
          <wp:simplePos x="0" y="0"/>
          <wp:positionH relativeFrom="margin">
            <wp:posOffset>18415</wp:posOffset>
          </wp:positionH>
          <wp:positionV relativeFrom="paragraph">
            <wp:posOffset>-521970</wp:posOffset>
          </wp:positionV>
          <wp:extent cx="4700016" cy="356616"/>
          <wp:effectExtent l="0" t="0" r="0" b="5715"/>
          <wp:wrapSquare wrapText="bothSides"/>
          <wp:docPr id="31" name="Picture 31" descr="ERC_TEXT_Base_Wor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C_TEXT_Base_Word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0016" cy="35661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2D8" w:rsidRDefault="002512D8">
      <w:r>
        <w:separator/>
      </w:r>
    </w:p>
  </w:footnote>
  <w:footnote w:type="continuationSeparator" w:id="0">
    <w:p w:rsidR="002512D8" w:rsidRDefault="002512D8">
      <w:r>
        <w:continuationSeparator/>
      </w:r>
    </w:p>
  </w:footnote>
  <w:footnote w:id="1">
    <w:p w:rsidR="007B4694" w:rsidRPr="009C7495" w:rsidRDefault="007B4694" w:rsidP="007B4694">
      <w:pPr>
        <w:jc w:val="both"/>
        <w:rPr>
          <w:sz w:val="20"/>
          <w:szCs w:val="20"/>
        </w:rPr>
      </w:pPr>
      <w:r w:rsidRPr="009C7495">
        <w:rPr>
          <w:rStyle w:val="FootnoteReference"/>
          <w:sz w:val="20"/>
          <w:szCs w:val="20"/>
        </w:rPr>
        <w:footnoteRef/>
      </w:r>
      <w:r w:rsidRPr="009C7495">
        <w:rPr>
          <w:sz w:val="20"/>
          <w:szCs w:val="20"/>
        </w:rPr>
        <w:t xml:space="preserve"> Input additionality adopts a resource-based perspective in examining the extent to which firms increase their private investment in R&amp;D in response to public R&amp;D subsidies </w:t>
      </w:r>
      <w:r w:rsidRPr="001925A4">
        <w:rPr>
          <w:sz w:val="20"/>
          <w:szCs w:val="20"/>
        </w:rPr>
        <w:t>(Falk 2007</w:t>
      </w:r>
      <w:r w:rsidRPr="009C7495">
        <w:rPr>
          <w:sz w:val="20"/>
          <w:szCs w:val="20"/>
        </w:rPr>
        <w:t xml:space="preserve">). Output additionality adopts a results-based perspective (ibid.) in terms of the increase in innovation outputs i.e. patents, products etc. or innovation outcomes i.e. sales from new or modified products etc. arising from public support for R&amp;D.   </w:t>
      </w:r>
    </w:p>
  </w:footnote>
  <w:footnote w:id="2">
    <w:p w:rsidR="007B4694" w:rsidRDefault="007B4694" w:rsidP="007B4694">
      <w:pPr>
        <w:pStyle w:val="FootnoteText"/>
        <w:jc w:val="both"/>
        <w:rPr>
          <w:rFonts w:ascii="Times New Roman" w:hAnsi="Times New Roman" w:cs="Times New Roman"/>
          <w:sz w:val="24"/>
          <w:szCs w:val="24"/>
        </w:rPr>
      </w:pPr>
      <w:r w:rsidRPr="009C7495">
        <w:rPr>
          <w:rStyle w:val="FootnoteReference"/>
          <w:rFonts w:ascii="Times New Roman" w:hAnsi="Times New Roman" w:cs="Times New Roman"/>
        </w:rPr>
        <w:footnoteRef/>
      </w:r>
      <w:r w:rsidRPr="009C7495">
        <w:rPr>
          <w:rFonts w:ascii="Times New Roman" w:hAnsi="Times New Roman" w:cs="Times New Roman"/>
        </w:rPr>
        <w:t xml:space="preserve"> First-order additionality is concerned with direct technological and learning outcomes of R&amp;D subsidies whereas second-order additionality occurs through technological learning and innovation outcomes, typically arising through ‘knowledge spill-overs, technology diffusion, and knowledge exchanges within communities of firms’ (Autio et al, </w:t>
      </w:r>
      <w:r>
        <w:rPr>
          <w:rFonts w:ascii="Times New Roman" w:hAnsi="Times New Roman" w:cs="Times New Roman"/>
        </w:rPr>
        <w:t xml:space="preserve">2008, </w:t>
      </w:r>
      <w:r w:rsidRPr="009C7495">
        <w:rPr>
          <w:rFonts w:ascii="Times New Roman" w:hAnsi="Times New Roman" w:cs="Times New Roman"/>
        </w:rPr>
        <w:t>59).</w:t>
      </w:r>
      <w:r w:rsidRPr="009C7495">
        <w:rPr>
          <w:rFonts w:ascii="Times New Roman" w:hAnsi="Times New Roman" w:cs="Times New Roman"/>
          <w:sz w:val="24"/>
          <w:szCs w:val="24"/>
        </w:rPr>
        <w:t xml:space="preserve">  </w:t>
      </w:r>
    </w:p>
    <w:p w:rsidR="007B4694" w:rsidRDefault="007B4694" w:rsidP="000A70B0">
      <w:pPr>
        <w:pStyle w:val="FootnoteText"/>
        <w:rPr>
          <w:rFonts w:ascii="Times New Roman" w:hAnsi="Times New Roman" w:cs="Times New Roman"/>
          <w:sz w:val="24"/>
          <w:szCs w:val="24"/>
        </w:rPr>
      </w:pPr>
    </w:p>
    <w:p w:rsidR="007B4694" w:rsidRDefault="007B4694" w:rsidP="000A70B0">
      <w:pPr>
        <w:pStyle w:val="FootnoteText"/>
        <w:rPr>
          <w:rFonts w:ascii="Times New Roman" w:hAnsi="Times New Roman" w:cs="Times New Roman"/>
          <w:sz w:val="24"/>
          <w:szCs w:val="24"/>
        </w:rPr>
      </w:pPr>
    </w:p>
    <w:p w:rsidR="007B4694" w:rsidRDefault="007B4694" w:rsidP="000A70B0">
      <w:pPr>
        <w:pStyle w:val="FootnoteText"/>
      </w:pPr>
    </w:p>
  </w:footnote>
  <w:footnote w:id="3">
    <w:p w:rsidR="007B4694" w:rsidRDefault="007B4694" w:rsidP="007B4694">
      <w:pPr>
        <w:pStyle w:val="FootnoteText"/>
        <w:jc w:val="both"/>
        <w:rPr>
          <w:rFonts w:ascii="Times New Roman" w:hAnsi="Times New Roman" w:cs="Times New Roman"/>
        </w:rPr>
      </w:pPr>
      <w:r w:rsidRPr="00FF08B9">
        <w:rPr>
          <w:rStyle w:val="FootnoteReference"/>
          <w:rFonts w:ascii="Times New Roman" w:hAnsi="Times New Roman" w:cs="Times New Roman"/>
        </w:rPr>
        <w:footnoteRef/>
      </w:r>
      <w:r w:rsidRPr="00FF08B9">
        <w:rPr>
          <w:rFonts w:ascii="Times New Roman" w:hAnsi="Times New Roman" w:cs="Times New Roman"/>
        </w:rPr>
        <w:t xml:space="preserve"> Such quality ladder effects have been shown to be important in determining the duration of exporting </w:t>
      </w:r>
      <w:r>
        <w:rPr>
          <w:rFonts w:ascii="Times New Roman" w:hAnsi="Times New Roman" w:cs="Times New Roman"/>
          <w:noProof/>
        </w:rPr>
        <w:t>(Chen, 2012)</w:t>
      </w:r>
      <w:r w:rsidRPr="00FF08B9">
        <w:rPr>
          <w:rFonts w:ascii="Times New Roman" w:hAnsi="Times New Roman" w:cs="Times New Roman"/>
        </w:rPr>
        <w:t>.</w:t>
      </w:r>
    </w:p>
    <w:p w:rsidR="007B4694" w:rsidRDefault="007B4694" w:rsidP="000A70B0">
      <w:pPr>
        <w:pStyle w:val="FootnoteText"/>
        <w:rPr>
          <w:rFonts w:ascii="Times New Roman" w:hAnsi="Times New Roman" w:cs="Times New Roman"/>
        </w:rPr>
      </w:pPr>
    </w:p>
    <w:p w:rsidR="007B4694" w:rsidRDefault="007B4694" w:rsidP="000A70B0">
      <w:pPr>
        <w:pStyle w:val="FootnoteText"/>
        <w:rPr>
          <w:rFonts w:ascii="Times New Roman" w:hAnsi="Times New Roman" w:cs="Times New Roman"/>
        </w:rPr>
      </w:pPr>
    </w:p>
    <w:p w:rsidR="007B4694" w:rsidRPr="00FF08B9" w:rsidRDefault="007B4694" w:rsidP="000A70B0">
      <w:pPr>
        <w:pStyle w:val="FootnoteText"/>
        <w:rPr>
          <w:rFonts w:ascii="Times New Roman" w:hAnsi="Times New Roman" w:cs="Times New Roman"/>
        </w:rPr>
      </w:pPr>
    </w:p>
  </w:footnote>
  <w:footnote w:id="4">
    <w:p w:rsidR="007B4694" w:rsidRDefault="007B4694" w:rsidP="007B4694">
      <w:pPr>
        <w:pStyle w:val="FootnoteText"/>
        <w:jc w:val="both"/>
        <w:rPr>
          <w:rFonts w:ascii="Times New Roman" w:hAnsi="Times New Roman" w:cs="Times New Roman"/>
        </w:rPr>
      </w:pPr>
      <w:r w:rsidRPr="00BC593B">
        <w:rPr>
          <w:rStyle w:val="FootnoteReference"/>
          <w:rFonts w:ascii="Times New Roman" w:hAnsi="Times New Roman" w:cs="Times New Roman"/>
        </w:rPr>
        <w:footnoteRef/>
      </w:r>
      <w:r w:rsidRPr="00BC593B">
        <w:rPr>
          <w:rFonts w:ascii="Times New Roman" w:hAnsi="Times New Roman" w:cs="Times New Roman"/>
        </w:rPr>
        <w:t xml:space="preserve"> Generally these changes are perceived as being desirable however there is also the potential for undesirable behaviours to emerge through, for example, inefficient routines, risk taking etc.</w:t>
      </w:r>
    </w:p>
    <w:p w:rsidR="007B4694" w:rsidRDefault="007B4694" w:rsidP="000A70B0">
      <w:pPr>
        <w:pStyle w:val="FootnoteText"/>
        <w:rPr>
          <w:rFonts w:ascii="Times New Roman" w:hAnsi="Times New Roman" w:cs="Times New Roman"/>
        </w:rPr>
      </w:pPr>
    </w:p>
    <w:p w:rsidR="007B4694" w:rsidRDefault="007B4694" w:rsidP="000A70B0">
      <w:pPr>
        <w:pStyle w:val="FootnoteText"/>
        <w:rPr>
          <w:rFonts w:ascii="Times New Roman" w:hAnsi="Times New Roman" w:cs="Times New Roman"/>
        </w:rPr>
      </w:pPr>
    </w:p>
    <w:p w:rsidR="007B4694" w:rsidRPr="00BC593B" w:rsidRDefault="007B4694" w:rsidP="000A70B0">
      <w:pPr>
        <w:pStyle w:val="FootnoteText"/>
        <w:rPr>
          <w:rFonts w:ascii="Times New Roman" w:hAnsi="Times New Roman" w:cs="Times New Roman"/>
        </w:rPr>
      </w:pPr>
    </w:p>
  </w:footnote>
  <w:footnote w:id="5">
    <w:p w:rsidR="007B4694" w:rsidRDefault="007B4694" w:rsidP="000A70B0">
      <w:pPr>
        <w:pStyle w:val="FootnoteText"/>
        <w:rPr>
          <w:rFonts w:ascii="Times New Roman" w:hAnsi="Times New Roman" w:cs="Times New Roman"/>
        </w:rPr>
      </w:pPr>
      <w:r w:rsidRPr="0011356A">
        <w:rPr>
          <w:rStyle w:val="FootnoteReference"/>
          <w:rFonts w:ascii="Times New Roman" w:hAnsi="Times New Roman" w:cs="Times New Roman"/>
        </w:rPr>
        <w:footnoteRef/>
      </w:r>
      <w:r w:rsidRPr="0011356A">
        <w:rPr>
          <w:rFonts w:ascii="Times New Roman" w:hAnsi="Times New Roman" w:cs="Times New Roman"/>
        </w:rPr>
        <w:t xml:space="preserve"> However, recent studies have also identified limits to the benefits of openness as the number of firms’ external relationships increases </w:t>
      </w:r>
      <w:r w:rsidRPr="0011356A">
        <w:rPr>
          <w:rFonts w:ascii="Times New Roman" w:hAnsi="Times New Roman" w:cs="Times New Roman"/>
          <w:noProof/>
        </w:rPr>
        <w:t>(Ahuja and Katila, 2001, Leiponen and Helfat, 2010)</w:t>
      </w:r>
      <w:r w:rsidRPr="0011356A">
        <w:rPr>
          <w:rFonts w:ascii="Times New Roman" w:hAnsi="Times New Roman" w:cs="Times New Roman"/>
        </w:rPr>
        <w:t>.</w:t>
      </w:r>
    </w:p>
    <w:p w:rsidR="007B4694" w:rsidRDefault="007B4694" w:rsidP="000A70B0">
      <w:pPr>
        <w:pStyle w:val="FootnoteText"/>
        <w:rPr>
          <w:rFonts w:ascii="Times New Roman" w:hAnsi="Times New Roman" w:cs="Times New Roman"/>
        </w:rPr>
      </w:pPr>
    </w:p>
    <w:p w:rsidR="007B4694" w:rsidRDefault="007B4694" w:rsidP="000A70B0">
      <w:pPr>
        <w:pStyle w:val="FootnoteText"/>
        <w:rPr>
          <w:rFonts w:ascii="Times New Roman" w:hAnsi="Times New Roman" w:cs="Times New Roman"/>
        </w:rPr>
      </w:pPr>
    </w:p>
    <w:p w:rsidR="007B4694" w:rsidRPr="0011356A" w:rsidRDefault="007B4694" w:rsidP="000A70B0">
      <w:pPr>
        <w:pStyle w:val="FootnoteText"/>
        <w:rPr>
          <w:rFonts w:ascii="Times New Roman" w:hAnsi="Times New Roman" w:cs="Times New Roman"/>
        </w:rPr>
      </w:pPr>
    </w:p>
  </w:footnote>
  <w:footnote w:id="6">
    <w:p w:rsidR="007B4694" w:rsidRDefault="007B4694" w:rsidP="007B4694">
      <w:pPr>
        <w:pStyle w:val="Default"/>
        <w:jc w:val="both"/>
        <w:rPr>
          <w:rFonts w:ascii="Times New Roman" w:hAnsi="Times New Roman" w:cs="Times New Roman"/>
          <w:color w:val="auto"/>
          <w:sz w:val="20"/>
          <w:szCs w:val="20"/>
        </w:rPr>
      </w:pPr>
      <w:r w:rsidRPr="00D41B72">
        <w:rPr>
          <w:rStyle w:val="FootnoteReference"/>
          <w:rFonts w:ascii="Times New Roman" w:hAnsi="Times New Roman" w:cs="Times New Roman"/>
          <w:sz w:val="20"/>
          <w:szCs w:val="20"/>
        </w:rPr>
        <w:footnoteRef/>
      </w:r>
      <w:r w:rsidRPr="00D41B72">
        <w:rPr>
          <w:rFonts w:ascii="Times New Roman" w:hAnsi="Times New Roman" w:cs="Times New Roman"/>
          <w:sz w:val="20"/>
          <w:szCs w:val="20"/>
        </w:rPr>
        <w:t xml:space="preserve"> </w:t>
      </w:r>
      <w:r w:rsidRPr="00D41B72">
        <w:rPr>
          <w:rFonts w:ascii="Times New Roman" w:hAnsi="Times New Roman" w:cs="Times New Roman"/>
          <w:color w:val="auto"/>
          <w:sz w:val="20"/>
          <w:szCs w:val="20"/>
        </w:rPr>
        <w:t>Correlations between the two innovation output variables are strong, however, (correlation coefficient is 0.805) suggesting firms wh</w:t>
      </w:r>
      <w:r>
        <w:rPr>
          <w:rFonts w:ascii="Times New Roman" w:hAnsi="Times New Roman" w:cs="Times New Roman"/>
          <w:color w:val="auto"/>
          <w:sz w:val="20"/>
          <w:szCs w:val="20"/>
        </w:rPr>
        <w:t xml:space="preserve">ich perform well on the narrow innovation </w:t>
      </w:r>
      <w:r w:rsidRPr="00D41B72">
        <w:rPr>
          <w:rFonts w:ascii="Times New Roman" w:hAnsi="Times New Roman" w:cs="Times New Roman"/>
          <w:color w:val="auto"/>
          <w:sz w:val="20"/>
          <w:szCs w:val="20"/>
        </w:rPr>
        <w:t xml:space="preserve">measure also tend to perform well </w:t>
      </w:r>
      <w:r>
        <w:rPr>
          <w:rFonts w:ascii="Times New Roman" w:hAnsi="Times New Roman" w:cs="Times New Roman"/>
          <w:color w:val="auto"/>
          <w:sz w:val="20"/>
          <w:szCs w:val="20"/>
        </w:rPr>
        <w:t xml:space="preserve">on the broader indicator </w:t>
      </w:r>
      <w:r w:rsidRPr="00D41B72">
        <w:rPr>
          <w:rFonts w:ascii="Times New Roman" w:hAnsi="Times New Roman" w:cs="Times New Roman"/>
          <w:color w:val="auto"/>
          <w:sz w:val="20"/>
          <w:szCs w:val="20"/>
        </w:rPr>
        <w:t xml:space="preserve">of new and improved products. </w:t>
      </w:r>
    </w:p>
    <w:p w:rsidR="007B4694" w:rsidRDefault="007B4694" w:rsidP="000A70B0">
      <w:pPr>
        <w:pStyle w:val="Default"/>
        <w:rPr>
          <w:rFonts w:ascii="Times New Roman" w:hAnsi="Times New Roman" w:cs="Times New Roman"/>
          <w:color w:val="auto"/>
          <w:sz w:val="20"/>
          <w:szCs w:val="20"/>
        </w:rPr>
      </w:pPr>
    </w:p>
    <w:p w:rsidR="007B4694" w:rsidRDefault="007B4694" w:rsidP="000A70B0">
      <w:pPr>
        <w:pStyle w:val="Default"/>
        <w:rPr>
          <w:rFonts w:ascii="Times New Roman" w:hAnsi="Times New Roman" w:cs="Times New Roman"/>
          <w:color w:val="auto"/>
          <w:sz w:val="20"/>
          <w:szCs w:val="20"/>
        </w:rPr>
      </w:pPr>
    </w:p>
    <w:p w:rsidR="007B4694" w:rsidRPr="00D41B72" w:rsidRDefault="007B4694" w:rsidP="000A70B0">
      <w:pPr>
        <w:pStyle w:val="Default"/>
        <w:rPr>
          <w:rFonts w:ascii="Times New Roman" w:hAnsi="Times New Roman" w:cs="Times New Roman"/>
          <w:color w:val="auto"/>
          <w:sz w:val="20"/>
          <w:szCs w:val="20"/>
        </w:rPr>
      </w:pPr>
    </w:p>
  </w:footnote>
  <w:footnote w:id="7">
    <w:p w:rsidR="007B4694" w:rsidRPr="0011356A" w:rsidRDefault="007B4694" w:rsidP="007B4694">
      <w:pPr>
        <w:pStyle w:val="FootnoteText"/>
        <w:jc w:val="both"/>
        <w:rPr>
          <w:rFonts w:ascii="Times New Roman" w:hAnsi="Times New Roman" w:cs="Times New Roman"/>
        </w:rPr>
      </w:pPr>
      <w:r w:rsidRPr="0011356A">
        <w:rPr>
          <w:rStyle w:val="FootnoteReference"/>
          <w:rFonts w:ascii="Times New Roman" w:hAnsi="Times New Roman" w:cs="Times New Roman"/>
        </w:rPr>
        <w:footnoteRef/>
      </w:r>
      <w:r w:rsidRPr="0011356A">
        <w:rPr>
          <w:rFonts w:ascii="Times New Roman" w:hAnsi="Times New Roman" w:cs="Times New Roman"/>
        </w:rPr>
        <w:t xml:space="preserve"> In other papers we have documented in detail the development of innovation and R&amp;D policy in Ireland and Northern Ireland. See in particular: Hewitt-Dundas and Roper </w:t>
      </w:r>
      <w:r w:rsidRPr="0011356A">
        <w:rPr>
          <w:rFonts w:ascii="Times New Roman" w:hAnsi="Times New Roman" w:cs="Times New Roman"/>
          <w:noProof/>
        </w:rPr>
        <w:t>(2009)</w:t>
      </w:r>
      <w:r w:rsidRPr="0011356A">
        <w:rPr>
          <w:rFonts w:ascii="Times New Roman" w:hAnsi="Times New Roman" w:cs="Times New Roman"/>
        </w:rPr>
        <w:t xml:space="preserve">, O'Malley et al. </w:t>
      </w:r>
      <w:r w:rsidRPr="0011356A">
        <w:rPr>
          <w:rFonts w:ascii="Times New Roman" w:hAnsi="Times New Roman" w:cs="Times New Roman"/>
          <w:noProof/>
        </w:rPr>
        <w:t>(2008)</w:t>
      </w:r>
      <w:r w:rsidRPr="0011356A">
        <w:rPr>
          <w:rFonts w:ascii="Times New Roman" w:hAnsi="Times New Roman" w:cs="Times New Roman"/>
        </w:rPr>
        <w:t xml:space="preserve">, </w:t>
      </w:r>
      <w:r w:rsidRPr="0011356A">
        <w:rPr>
          <w:rFonts w:ascii="Times New Roman" w:hAnsi="Times New Roman" w:cs="Times New Roman"/>
          <w:noProof/>
        </w:rPr>
        <w:t>(Roper, 1998)</w:t>
      </w:r>
      <w:r w:rsidRPr="0011356A">
        <w:rPr>
          <w:rFonts w:ascii="Times New Roman" w:hAnsi="Times New Roman" w:cs="Times New Roman"/>
        </w:rPr>
        <w:t xml:space="preserve">, Hewitt-Dundas et al. </w:t>
      </w:r>
      <w:r w:rsidRPr="0011356A">
        <w:rPr>
          <w:rFonts w:ascii="Times New Roman" w:hAnsi="Times New Roman" w:cs="Times New Roman"/>
          <w:noProof/>
        </w:rPr>
        <w:t>(2005)</w:t>
      </w:r>
      <w:r w:rsidRPr="0011356A">
        <w:rPr>
          <w:rFonts w:ascii="Times New Roman" w:hAnsi="Times New Roman" w:cs="Times New Roman"/>
        </w:rPr>
        <w:t>.</w:t>
      </w:r>
    </w:p>
  </w:footnote>
  <w:footnote w:id="8">
    <w:p w:rsidR="007B4694" w:rsidRPr="00787A0C" w:rsidRDefault="007B4694" w:rsidP="007B4694">
      <w:pPr>
        <w:jc w:val="both"/>
        <w:rPr>
          <w:sz w:val="20"/>
          <w:szCs w:val="20"/>
        </w:rPr>
      </w:pPr>
      <w:r w:rsidRPr="0011356A">
        <w:rPr>
          <w:rStyle w:val="FootnoteReference"/>
          <w:sz w:val="20"/>
          <w:szCs w:val="20"/>
        </w:rPr>
        <w:footnoteRef/>
      </w:r>
      <w:r w:rsidRPr="0011356A">
        <w:rPr>
          <w:sz w:val="20"/>
          <w:szCs w:val="20"/>
        </w:rPr>
        <w:t xml:space="preserve"> The correlation between receiving public support for NPD in the current period and </w:t>
      </w:r>
      <w:r w:rsidRPr="00787A0C">
        <w:rPr>
          <w:sz w:val="20"/>
          <w:szCs w:val="20"/>
        </w:rPr>
        <w:t xml:space="preserve">previous period was 0.336 (Northern Ireland, 0.316, Ireland, 0.349) in Ireland. Essentially similar results have been noted elsewhere. Dugeuet </w:t>
      </w:r>
      <w:r w:rsidRPr="00787A0C">
        <w:rPr>
          <w:noProof/>
          <w:sz w:val="20"/>
          <w:szCs w:val="20"/>
        </w:rPr>
        <w:t>(2004)</w:t>
      </w:r>
      <w:r w:rsidRPr="00787A0C">
        <w:rPr>
          <w:sz w:val="20"/>
          <w:szCs w:val="20"/>
        </w:rPr>
        <w:t xml:space="preserve"> noted that in France among firms receiving R&amp;D subsidies in 1996, 76 per cent were also subsidised in 1997. Similar results are evident in Germany for the Direct R&amp;D Project Funding Scheme </w:t>
      </w:r>
      <w:r w:rsidRPr="00787A0C">
        <w:rPr>
          <w:noProof/>
          <w:sz w:val="20"/>
          <w:szCs w:val="20"/>
        </w:rPr>
        <w:t>(Aschhoff, 2010)</w:t>
      </w:r>
      <w:r w:rsidRPr="00787A0C">
        <w:rPr>
          <w:sz w:val="20"/>
          <w:szCs w:val="20"/>
        </w:rPr>
        <w:t>.</w:t>
      </w:r>
    </w:p>
  </w:footnote>
  <w:footnote w:id="9">
    <w:p w:rsidR="007B4694" w:rsidRDefault="007B4694" w:rsidP="007B4694">
      <w:pPr>
        <w:pStyle w:val="NoSpacing"/>
        <w:jc w:val="both"/>
        <w:rPr>
          <w:sz w:val="20"/>
          <w:szCs w:val="20"/>
        </w:rPr>
      </w:pPr>
      <w:r w:rsidRPr="00787A0C">
        <w:rPr>
          <w:rStyle w:val="FootnoteReference"/>
          <w:sz w:val="20"/>
          <w:szCs w:val="20"/>
        </w:rPr>
        <w:footnoteRef/>
      </w:r>
      <w:r w:rsidRPr="00787A0C">
        <w:rPr>
          <w:sz w:val="20"/>
          <w:szCs w:val="20"/>
        </w:rPr>
        <w:t xml:space="preserve"> There is substantial evidence of this type of short-term additionality effect from innovation policy </w:t>
      </w:r>
      <w:r w:rsidRPr="00787A0C">
        <w:rPr>
          <w:noProof/>
          <w:sz w:val="20"/>
          <w:szCs w:val="20"/>
        </w:rPr>
        <w:t>(Aerts and Schmidt, 2008, Aschhoff and Fier, 2005, Buiseret et al., 1995, Czarnitzki and Licht, 2006, Hewitt-Dundas and Roper, 2009, Hsu et al., 2009)</w:t>
      </w:r>
      <w:r w:rsidRPr="00787A0C">
        <w:rPr>
          <w:sz w:val="20"/>
          <w:szCs w:val="20"/>
        </w:rPr>
        <w:t>. Strong and significant short-term additionality effects are also evident in our data controlling for sample selection and using a range of estimation approaches (instrumental variables, matching estimators). Results are available on request from the authors.</w:t>
      </w:r>
    </w:p>
    <w:p w:rsidR="007B4694" w:rsidRDefault="007B4694" w:rsidP="00787A0C">
      <w:pPr>
        <w:pStyle w:val="NoSpacing"/>
        <w:rPr>
          <w:sz w:val="20"/>
          <w:szCs w:val="20"/>
        </w:rPr>
      </w:pPr>
    </w:p>
    <w:p w:rsidR="007B4694" w:rsidRDefault="007B4694" w:rsidP="00787A0C">
      <w:pPr>
        <w:pStyle w:val="NoSpacing"/>
        <w:rPr>
          <w:sz w:val="20"/>
          <w:szCs w:val="20"/>
        </w:rPr>
      </w:pPr>
    </w:p>
    <w:p w:rsidR="007B4694" w:rsidRPr="00787A0C" w:rsidRDefault="007B4694" w:rsidP="00787A0C">
      <w:pPr>
        <w:pStyle w:val="NoSpacing"/>
        <w:rPr>
          <w:sz w:val="20"/>
          <w:szCs w:val="20"/>
        </w:rPr>
      </w:pPr>
    </w:p>
  </w:footnote>
  <w:footnote w:id="10">
    <w:p w:rsidR="007B4694" w:rsidRPr="000B51E0" w:rsidRDefault="007B4694" w:rsidP="007B4694">
      <w:pPr>
        <w:pStyle w:val="NoSpacing"/>
        <w:jc w:val="both"/>
        <w:rPr>
          <w:sz w:val="20"/>
          <w:szCs w:val="20"/>
        </w:rPr>
      </w:pPr>
      <w:r w:rsidRPr="00787A0C">
        <w:rPr>
          <w:rStyle w:val="FootnoteReference"/>
          <w:rFonts w:ascii="Times New Roman" w:hAnsi="Times New Roman" w:cs="Times New Roman"/>
          <w:sz w:val="20"/>
          <w:szCs w:val="20"/>
        </w:rPr>
        <w:footnoteRef/>
      </w:r>
      <w:r w:rsidRPr="00787A0C">
        <w:rPr>
          <w:sz w:val="20"/>
          <w:szCs w:val="20"/>
        </w:rPr>
        <w:t xml:space="preserve"> In other words, where plants received public support for NPD or R&amp;D in the previous wave of the survey 4-6 years previously</w:t>
      </w:r>
      <w:r>
        <w:rPr>
          <w:sz w:val="20"/>
          <w:szCs w:val="20"/>
        </w:rPr>
        <w:t>.</w:t>
      </w:r>
    </w:p>
    <w:p w:rsidR="007B4694" w:rsidRPr="00787A0C" w:rsidRDefault="007B4694" w:rsidP="000A70B0">
      <w:pPr>
        <w:pStyle w:val="FootnoteText"/>
        <w:rPr>
          <w:rFonts w:ascii="Times New Roman" w:hAnsi="Times New Roman" w:cs="Times New Roman"/>
        </w:rPr>
      </w:pPr>
    </w:p>
    <w:p w:rsidR="007B4694" w:rsidRPr="00787A0C" w:rsidRDefault="007B4694" w:rsidP="000A70B0">
      <w:pPr>
        <w:pStyle w:val="FootnoteText"/>
        <w:rPr>
          <w:rFonts w:ascii="Times New Roman" w:hAnsi="Times New Roman" w:cs="Times New Roman"/>
        </w:rPr>
      </w:pPr>
    </w:p>
    <w:p w:rsidR="007B4694" w:rsidRPr="00787A0C" w:rsidRDefault="007B4694" w:rsidP="000A70B0">
      <w:pPr>
        <w:pStyle w:val="FootnoteText"/>
        <w:rPr>
          <w:rFonts w:ascii="Times New Roman" w:hAnsi="Times New Roman" w:cs="Times New Roman"/>
        </w:rPr>
      </w:pPr>
    </w:p>
  </w:footnote>
  <w:footnote w:id="11">
    <w:p w:rsidR="007B4694" w:rsidRPr="0011356A" w:rsidRDefault="007B4694" w:rsidP="007B4694">
      <w:pPr>
        <w:pStyle w:val="FootnoteText"/>
        <w:jc w:val="both"/>
        <w:rPr>
          <w:rFonts w:ascii="Times New Roman" w:hAnsi="Times New Roman" w:cs="Times New Roman"/>
        </w:rPr>
      </w:pPr>
      <w:r w:rsidRPr="0011356A">
        <w:rPr>
          <w:rStyle w:val="FootnoteReference"/>
          <w:rFonts w:ascii="Times New Roman" w:hAnsi="Times New Roman" w:cs="Times New Roman"/>
        </w:rPr>
        <w:footnoteRef/>
      </w:r>
      <w:r w:rsidRPr="0011356A">
        <w:rPr>
          <w:rFonts w:ascii="Times New Roman" w:hAnsi="Times New Roman" w:cs="Times New Roman"/>
        </w:rPr>
        <w:t xml:space="preserve"> In the IIP plants were asked to indicate the importance of various barriers to innovation on a 1 to 5 Likert scale. In the operationalization of equations (1) and (2) these variables were transformed into binary indicators taking value one if an innovation barrier was said to be ‘significant’ or ‘very significant’ and zero otherwise. </w:t>
      </w:r>
    </w:p>
  </w:footnote>
  <w:footnote w:id="12">
    <w:p w:rsidR="007B4694" w:rsidRDefault="007B4694" w:rsidP="007B4694">
      <w:pPr>
        <w:pStyle w:val="FootnoteText"/>
        <w:jc w:val="both"/>
        <w:rPr>
          <w:rFonts w:ascii="Times New Roman" w:hAnsi="Times New Roman" w:cs="Times New Roman"/>
        </w:rPr>
      </w:pPr>
      <w:r w:rsidRPr="0011356A">
        <w:rPr>
          <w:rStyle w:val="FootnoteReference"/>
          <w:rFonts w:ascii="Times New Roman" w:hAnsi="Times New Roman" w:cs="Times New Roman"/>
        </w:rPr>
        <w:footnoteRef/>
      </w:r>
      <w:r w:rsidRPr="0011356A">
        <w:rPr>
          <w:rFonts w:ascii="Times New Roman" w:hAnsi="Times New Roman" w:cs="Times New Roman"/>
        </w:rPr>
        <w:t xml:space="preserve"> Interestingly, the potential for organisational learning in plants’ innovation networking activity has recently been examined by Love et al. (2013). Their analysis, using the same data set as that used here, suggests positive evidence of learning effects and perhaps the potential for</w:t>
      </w:r>
      <w:r>
        <w:rPr>
          <w:rFonts w:ascii="Times New Roman" w:hAnsi="Times New Roman" w:cs="Times New Roman"/>
        </w:rPr>
        <w:t xml:space="preserve"> inter-organisational legacy effects</w:t>
      </w:r>
      <w:r w:rsidRPr="0011356A">
        <w:rPr>
          <w:rFonts w:ascii="Times New Roman" w:hAnsi="Times New Roman" w:cs="Times New Roman"/>
        </w:rPr>
        <w:t>.</w:t>
      </w:r>
    </w:p>
    <w:p w:rsidR="007B4694" w:rsidRDefault="007B4694" w:rsidP="007B4694">
      <w:pPr>
        <w:pStyle w:val="FootnoteText"/>
        <w:jc w:val="both"/>
        <w:rPr>
          <w:rFonts w:ascii="Times New Roman" w:hAnsi="Times New Roman" w:cs="Times New Roman"/>
        </w:rPr>
      </w:pPr>
    </w:p>
    <w:p w:rsidR="007B4694" w:rsidRDefault="007B4694" w:rsidP="000A70B0">
      <w:pPr>
        <w:pStyle w:val="FootnoteText"/>
        <w:rPr>
          <w:rFonts w:ascii="Times New Roman" w:hAnsi="Times New Roman" w:cs="Times New Roman"/>
        </w:rPr>
      </w:pPr>
    </w:p>
    <w:p w:rsidR="007B4694" w:rsidRDefault="007B4694" w:rsidP="000A70B0">
      <w:pPr>
        <w:pStyle w:val="FootnoteText"/>
      </w:pPr>
    </w:p>
  </w:footnote>
  <w:footnote w:id="13">
    <w:p w:rsidR="007B4694" w:rsidRDefault="007B4694" w:rsidP="007B4694">
      <w:pPr>
        <w:jc w:val="both"/>
        <w:rPr>
          <w:sz w:val="20"/>
          <w:szCs w:val="20"/>
        </w:rPr>
      </w:pPr>
      <w:r w:rsidRPr="00BA7864">
        <w:rPr>
          <w:rStyle w:val="FootnoteReference"/>
          <w:sz w:val="20"/>
          <w:szCs w:val="20"/>
        </w:rPr>
        <w:footnoteRef/>
      </w:r>
      <w:r w:rsidRPr="00BA7864">
        <w:rPr>
          <w:sz w:val="20"/>
          <w:szCs w:val="20"/>
        </w:rPr>
        <w:t xml:space="preserve"> Note here that we are not interested in the treatment term on current innovation subsidies (β</w:t>
      </w:r>
      <w:r w:rsidRPr="00BA7864">
        <w:rPr>
          <w:sz w:val="20"/>
          <w:szCs w:val="20"/>
          <w:vertAlign w:val="subscript"/>
        </w:rPr>
        <w:t>7</w:t>
      </w:r>
      <w:r w:rsidRPr="00BA7864">
        <w:rPr>
          <w:sz w:val="20"/>
          <w:szCs w:val="20"/>
        </w:rPr>
        <w:t>) which reflects short-term additionality. Instead this acts as control variable in our tests for legacy effects from prior public support.</w:t>
      </w:r>
    </w:p>
    <w:p w:rsidR="007B4694" w:rsidRDefault="007B4694" w:rsidP="000A70B0">
      <w:pPr>
        <w:rPr>
          <w:sz w:val="20"/>
          <w:szCs w:val="20"/>
        </w:rPr>
      </w:pPr>
    </w:p>
    <w:p w:rsidR="007B4694" w:rsidRDefault="007B4694" w:rsidP="000A70B0">
      <w:pPr>
        <w:rPr>
          <w:sz w:val="20"/>
          <w:szCs w:val="20"/>
        </w:rPr>
      </w:pPr>
    </w:p>
    <w:p w:rsidR="007B4694" w:rsidRPr="00BA7864" w:rsidRDefault="007B4694" w:rsidP="000A70B0">
      <w:pPr>
        <w:rPr>
          <w:sz w:val="20"/>
          <w:szCs w:val="20"/>
        </w:rPr>
      </w:pPr>
    </w:p>
  </w:footnote>
  <w:footnote w:id="14">
    <w:p w:rsidR="007B4694" w:rsidRDefault="007B4694" w:rsidP="007B4694">
      <w:pPr>
        <w:pStyle w:val="FootnoteText"/>
        <w:jc w:val="both"/>
        <w:rPr>
          <w:rFonts w:ascii="Times New Roman" w:hAnsi="Times New Roman" w:cs="Times New Roman"/>
        </w:rPr>
      </w:pPr>
      <w:r w:rsidRPr="0011356A">
        <w:rPr>
          <w:rStyle w:val="FootnoteReference"/>
          <w:rFonts w:ascii="Times New Roman" w:hAnsi="Times New Roman" w:cs="Times New Roman"/>
        </w:rPr>
        <w:footnoteRef/>
      </w:r>
      <w:r w:rsidRPr="0011356A">
        <w:rPr>
          <w:rFonts w:ascii="Times New Roman" w:hAnsi="Times New Roman" w:cs="Times New Roman"/>
        </w:rPr>
        <w:t xml:space="preserve"> Full details of the analysis for R&amp;D subsidies – the equivalents of Tables 3 and 4 – are available from the authors on request.</w:t>
      </w:r>
    </w:p>
    <w:p w:rsidR="007B4694" w:rsidRDefault="007B4694" w:rsidP="000A70B0">
      <w:pPr>
        <w:pStyle w:val="FootnoteText"/>
        <w:rPr>
          <w:rFonts w:ascii="Times New Roman" w:hAnsi="Times New Roman" w:cs="Times New Roman"/>
        </w:rPr>
      </w:pPr>
    </w:p>
    <w:p w:rsidR="007B4694" w:rsidRDefault="007B4694" w:rsidP="000A70B0">
      <w:pPr>
        <w:pStyle w:val="FootnoteText"/>
        <w:rPr>
          <w:rFonts w:ascii="Times New Roman" w:hAnsi="Times New Roman" w:cs="Times New Roman"/>
        </w:rPr>
      </w:pPr>
    </w:p>
    <w:p w:rsidR="007B4694" w:rsidRPr="0011356A" w:rsidRDefault="007B4694" w:rsidP="000A70B0">
      <w:pPr>
        <w:pStyle w:val="FootnoteText"/>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694" w:rsidRPr="001841C0" w:rsidRDefault="007B4694" w:rsidP="001841C0">
    <w:pPr>
      <w:pStyle w:val="Header"/>
      <w:ind w:right="53"/>
      <w:rPr>
        <w:rFonts w:ascii="Arial Bold" w:hAnsi="Arial Bold"/>
        <w:color w:val="808080"/>
      </w:rPr>
    </w:pPr>
    <w:r>
      <w:rPr>
        <w:rFonts w:ascii="Arial Bold" w:hAnsi="Arial Bold"/>
        <w:noProof/>
        <w:color w:val="808080"/>
        <w:lang w:val="en-GB" w:eastAsia="en-GB"/>
      </w:rPr>
      <w:drawing>
        <wp:inline distT="0" distB="0" distL="0" distR="0" wp14:anchorId="368B9F49" wp14:editId="256A8DBC">
          <wp:extent cx="4754880" cy="1042416"/>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4754880" cy="1042416"/>
                  </a:xfrm>
                  <a:prstGeom prst="rect">
                    <a:avLst/>
                  </a:prstGeom>
                </pic:spPr>
              </pic:pic>
            </a:graphicData>
          </a:graphic>
        </wp:inline>
      </w:drawing>
    </w:r>
  </w:p>
  <w:p w:rsidR="007B4694" w:rsidRPr="005B56CC" w:rsidRDefault="007B4694" w:rsidP="00A62655">
    <w:pPr>
      <w:pStyle w:val="Header"/>
      <w:spacing w:after="120"/>
      <w:ind w:right="-144"/>
      <w:rPr>
        <w:sz w:val="20"/>
      </w:rPr>
    </w:pPr>
    <w:r w:rsidRPr="00BB22AF">
      <w:rPr>
        <w:rFonts w:ascii="Arial" w:hAnsi="Arial" w:cs="Arial"/>
        <w:b/>
        <w:sz w:val="22"/>
        <w:szCs w:val="22"/>
      </w:rPr>
      <w:t>The legacy of public subsidies for innovation</w:t>
    </w:r>
    <w:r>
      <w:rPr>
        <w:rFonts w:ascii="Arial SF MT" w:hAnsi="Arial SF MT"/>
        <w:color w:val="999999"/>
      </w:rPr>
      <w:t xml:space="preserve"> </w:t>
    </w:r>
    <w:r w:rsidR="002512D8">
      <w:rPr>
        <w:rFonts w:ascii="Arial SF MT" w:hAnsi="Arial SF MT"/>
        <w:color w:val="999999"/>
      </w:rPr>
      <w:pict w14:anchorId="0483498F">
        <v:rect id="_x0000_i1028" style="width:524.5pt;height:.75pt" o:hralign="center" o:hrstd="t" o:hrnoshade="t" o:hr="t" fillcolor="#aaa"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E27"/>
    <w:multiLevelType w:val="hybridMultilevel"/>
    <w:tmpl w:val="31260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BA3D72"/>
    <w:multiLevelType w:val="hybridMultilevel"/>
    <w:tmpl w:val="61403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8A11CF"/>
    <w:multiLevelType w:val="hybridMultilevel"/>
    <w:tmpl w:val="A4583EF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EA741D8"/>
    <w:multiLevelType w:val="hybridMultilevel"/>
    <w:tmpl w:val="11B21E54"/>
    <w:lvl w:ilvl="0" w:tplc="438CE014">
      <w:start w:val="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B43755"/>
    <w:multiLevelType w:val="hybridMultilevel"/>
    <w:tmpl w:val="0C00C464"/>
    <w:lvl w:ilvl="0" w:tplc="B9B84ED2">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F97B32"/>
    <w:multiLevelType w:val="hybridMultilevel"/>
    <w:tmpl w:val="3B046B4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D323DB8"/>
    <w:multiLevelType w:val="hybridMultilevel"/>
    <w:tmpl w:val="0C10314C"/>
    <w:lvl w:ilvl="0" w:tplc="7778A0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9E3DA2"/>
    <w:multiLevelType w:val="hybridMultilevel"/>
    <w:tmpl w:val="F41EA23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0B2096C"/>
    <w:multiLevelType w:val="hybridMultilevel"/>
    <w:tmpl w:val="C2E2DFA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B8D7492"/>
    <w:multiLevelType w:val="hybridMultilevel"/>
    <w:tmpl w:val="A704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0D6259"/>
    <w:multiLevelType w:val="hybridMultilevel"/>
    <w:tmpl w:val="4FA0FBBC"/>
    <w:lvl w:ilvl="0" w:tplc="1FECF876">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BA83851"/>
    <w:multiLevelType w:val="hybridMultilevel"/>
    <w:tmpl w:val="BF1C38F0"/>
    <w:lvl w:ilvl="0" w:tplc="2E76DFF8">
      <w:start w:val="4"/>
      <w:numFmt w:val="bullet"/>
      <w:lvlText w:val="-"/>
      <w:lvlJc w:val="left"/>
      <w:pPr>
        <w:ind w:left="720" w:hanging="360"/>
      </w:pPr>
      <w:rPr>
        <w:rFonts w:ascii="Swis721 Lt BT" w:eastAsia="Times New Roman" w:hAnsi="Swis721 Lt BT" w:cs="Times New Roman"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3E68E4"/>
    <w:multiLevelType w:val="hybridMultilevel"/>
    <w:tmpl w:val="56CE7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016727"/>
    <w:multiLevelType w:val="hybridMultilevel"/>
    <w:tmpl w:val="549EB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1153754"/>
    <w:multiLevelType w:val="hybridMultilevel"/>
    <w:tmpl w:val="8CE81662"/>
    <w:lvl w:ilvl="0" w:tplc="B9B84ED2">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D8E373C"/>
    <w:multiLevelType w:val="hybridMultilevel"/>
    <w:tmpl w:val="4968884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1A80281"/>
    <w:multiLevelType w:val="hybridMultilevel"/>
    <w:tmpl w:val="920C43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1E6636C"/>
    <w:multiLevelType w:val="hybridMultilevel"/>
    <w:tmpl w:val="881067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85B7F3A"/>
    <w:multiLevelType w:val="hybridMultilevel"/>
    <w:tmpl w:val="DE0053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D1D075E"/>
    <w:multiLevelType w:val="hybridMultilevel"/>
    <w:tmpl w:val="8810673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7D3D61D7"/>
    <w:multiLevelType w:val="hybridMultilevel"/>
    <w:tmpl w:val="0324D90A"/>
    <w:lvl w:ilvl="0" w:tplc="AE8494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9"/>
  </w:num>
  <w:num w:numId="4">
    <w:abstractNumId w:val="5"/>
  </w:num>
  <w:num w:numId="5">
    <w:abstractNumId w:val="20"/>
  </w:num>
  <w:num w:numId="6">
    <w:abstractNumId w:val="0"/>
  </w:num>
  <w:num w:numId="7">
    <w:abstractNumId w:val="6"/>
  </w:num>
  <w:num w:numId="8">
    <w:abstractNumId w:val="16"/>
  </w:num>
  <w:num w:numId="9">
    <w:abstractNumId w:val="3"/>
  </w:num>
  <w:num w:numId="10">
    <w:abstractNumId w:val="1"/>
  </w:num>
  <w:num w:numId="11">
    <w:abstractNumId w:val="18"/>
  </w:num>
  <w:num w:numId="12">
    <w:abstractNumId w:val="12"/>
  </w:num>
  <w:num w:numId="13">
    <w:abstractNumId w:val="15"/>
  </w:num>
  <w:num w:numId="14">
    <w:abstractNumId w:val="10"/>
  </w:num>
  <w:num w:numId="15">
    <w:abstractNumId w:val="19"/>
  </w:num>
  <w:num w:numId="16">
    <w:abstractNumId w:val="17"/>
  </w:num>
  <w:num w:numId="17">
    <w:abstractNumId w:val="2"/>
  </w:num>
  <w:num w:numId="18">
    <w:abstractNumId w:val="8"/>
  </w:num>
  <w:num w:numId="19">
    <w:abstractNumId w:val="4"/>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35C"/>
    <w:rsid w:val="0003203F"/>
    <w:rsid w:val="00067D70"/>
    <w:rsid w:val="00071910"/>
    <w:rsid w:val="00073204"/>
    <w:rsid w:val="00080250"/>
    <w:rsid w:val="00091198"/>
    <w:rsid w:val="000A70B0"/>
    <w:rsid w:val="000B51E0"/>
    <w:rsid w:val="000E00C9"/>
    <w:rsid w:val="000E0E0E"/>
    <w:rsid w:val="000E66EB"/>
    <w:rsid w:val="000F07E2"/>
    <w:rsid w:val="00103DEC"/>
    <w:rsid w:val="00104EFE"/>
    <w:rsid w:val="00133CE8"/>
    <w:rsid w:val="00180B3B"/>
    <w:rsid w:val="001841C0"/>
    <w:rsid w:val="001C265E"/>
    <w:rsid w:val="001C34EE"/>
    <w:rsid w:val="001D0C93"/>
    <w:rsid w:val="002100B3"/>
    <w:rsid w:val="00212BE7"/>
    <w:rsid w:val="00224D88"/>
    <w:rsid w:val="002317C6"/>
    <w:rsid w:val="002512D8"/>
    <w:rsid w:val="00264B63"/>
    <w:rsid w:val="00265920"/>
    <w:rsid w:val="00286B6E"/>
    <w:rsid w:val="002A3817"/>
    <w:rsid w:val="002A5C61"/>
    <w:rsid w:val="002A7D59"/>
    <w:rsid w:val="002C366A"/>
    <w:rsid w:val="002F63DC"/>
    <w:rsid w:val="002F7FF0"/>
    <w:rsid w:val="00300C8D"/>
    <w:rsid w:val="00310E3A"/>
    <w:rsid w:val="00316796"/>
    <w:rsid w:val="00322198"/>
    <w:rsid w:val="003402DA"/>
    <w:rsid w:val="003414E0"/>
    <w:rsid w:val="003454A8"/>
    <w:rsid w:val="003648C4"/>
    <w:rsid w:val="0037417C"/>
    <w:rsid w:val="003D21EB"/>
    <w:rsid w:val="003F74AB"/>
    <w:rsid w:val="0043466D"/>
    <w:rsid w:val="004551A9"/>
    <w:rsid w:val="0046088C"/>
    <w:rsid w:val="0046640E"/>
    <w:rsid w:val="00497BC5"/>
    <w:rsid w:val="004B36FC"/>
    <w:rsid w:val="004B64CF"/>
    <w:rsid w:val="004C0C06"/>
    <w:rsid w:val="004C7279"/>
    <w:rsid w:val="004E6675"/>
    <w:rsid w:val="005071F2"/>
    <w:rsid w:val="005206BB"/>
    <w:rsid w:val="00524B02"/>
    <w:rsid w:val="00526823"/>
    <w:rsid w:val="00531B7D"/>
    <w:rsid w:val="00564C5F"/>
    <w:rsid w:val="00572858"/>
    <w:rsid w:val="00575B3B"/>
    <w:rsid w:val="00577F05"/>
    <w:rsid w:val="00597978"/>
    <w:rsid w:val="005A4CC7"/>
    <w:rsid w:val="005B3EF7"/>
    <w:rsid w:val="00633B34"/>
    <w:rsid w:val="00645DAD"/>
    <w:rsid w:val="00646A10"/>
    <w:rsid w:val="00676BA5"/>
    <w:rsid w:val="006900CA"/>
    <w:rsid w:val="006D0AB8"/>
    <w:rsid w:val="006D209B"/>
    <w:rsid w:val="00701AD2"/>
    <w:rsid w:val="00707EF7"/>
    <w:rsid w:val="00723126"/>
    <w:rsid w:val="00742703"/>
    <w:rsid w:val="007738D9"/>
    <w:rsid w:val="00787994"/>
    <w:rsid w:val="00787A0C"/>
    <w:rsid w:val="007B210B"/>
    <w:rsid w:val="007B4694"/>
    <w:rsid w:val="007D4233"/>
    <w:rsid w:val="007D7D04"/>
    <w:rsid w:val="007E38B2"/>
    <w:rsid w:val="008317CD"/>
    <w:rsid w:val="00862430"/>
    <w:rsid w:val="00874D9F"/>
    <w:rsid w:val="00877D81"/>
    <w:rsid w:val="00882885"/>
    <w:rsid w:val="0088784F"/>
    <w:rsid w:val="008B04E1"/>
    <w:rsid w:val="008D335C"/>
    <w:rsid w:val="008F6B7A"/>
    <w:rsid w:val="00924E0F"/>
    <w:rsid w:val="00933DA9"/>
    <w:rsid w:val="009375BE"/>
    <w:rsid w:val="0096107C"/>
    <w:rsid w:val="0096510B"/>
    <w:rsid w:val="009A0193"/>
    <w:rsid w:val="009A26C3"/>
    <w:rsid w:val="009A376B"/>
    <w:rsid w:val="009D17C4"/>
    <w:rsid w:val="00A1138D"/>
    <w:rsid w:val="00A62655"/>
    <w:rsid w:val="00A8258E"/>
    <w:rsid w:val="00A844B6"/>
    <w:rsid w:val="00AB0B1E"/>
    <w:rsid w:val="00AB428C"/>
    <w:rsid w:val="00AB7C46"/>
    <w:rsid w:val="00AC1A5A"/>
    <w:rsid w:val="00B24192"/>
    <w:rsid w:val="00B31D64"/>
    <w:rsid w:val="00B60E18"/>
    <w:rsid w:val="00B61DE6"/>
    <w:rsid w:val="00B75717"/>
    <w:rsid w:val="00BA6F8E"/>
    <w:rsid w:val="00BB22AF"/>
    <w:rsid w:val="00BC1F6B"/>
    <w:rsid w:val="00BC5186"/>
    <w:rsid w:val="00C06A91"/>
    <w:rsid w:val="00C158F9"/>
    <w:rsid w:val="00C20FC6"/>
    <w:rsid w:val="00C26DE3"/>
    <w:rsid w:val="00C27AF5"/>
    <w:rsid w:val="00C5339F"/>
    <w:rsid w:val="00C5761E"/>
    <w:rsid w:val="00C73979"/>
    <w:rsid w:val="00C74300"/>
    <w:rsid w:val="00C90994"/>
    <w:rsid w:val="00CC1106"/>
    <w:rsid w:val="00CC3716"/>
    <w:rsid w:val="00CC7157"/>
    <w:rsid w:val="00CE7882"/>
    <w:rsid w:val="00D0325D"/>
    <w:rsid w:val="00D20946"/>
    <w:rsid w:val="00D22FA3"/>
    <w:rsid w:val="00D24CC1"/>
    <w:rsid w:val="00D43BF6"/>
    <w:rsid w:val="00D44725"/>
    <w:rsid w:val="00D57E3E"/>
    <w:rsid w:val="00D7699A"/>
    <w:rsid w:val="00D80CC0"/>
    <w:rsid w:val="00D86945"/>
    <w:rsid w:val="00D90807"/>
    <w:rsid w:val="00DE12D0"/>
    <w:rsid w:val="00DE35EA"/>
    <w:rsid w:val="00E16ED5"/>
    <w:rsid w:val="00E32959"/>
    <w:rsid w:val="00E36E3F"/>
    <w:rsid w:val="00E62A84"/>
    <w:rsid w:val="00E929A6"/>
    <w:rsid w:val="00EA2590"/>
    <w:rsid w:val="00EA6BF6"/>
    <w:rsid w:val="00EC1F9C"/>
    <w:rsid w:val="00ED122E"/>
    <w:rsid w:val="00ED2E6C"/>
    <w:rsid w:val="00F00390"/>
    <w:rsid w:val="00F24B57"/>
    <w:rsid w:val="00F27D78"/>
    <w:rsid w:val="00F31FC1"/>
    <w:rsid w:val="00F54E7F"/>
    <w:rsid w:val="00F6682C"/>
    <w:rsid w:val="00F94ED9"/>
    <w:rsid w:val="00FB733A"/>
    <w:rsid w:val="00FD0755"/>
    <w:rsid w:val="00FD7EFC"/>
    <w:rsid w:val="00FE6574"/>
    <w:rsid w:val="00FF629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toc 1" w:uiPriority="39"/>
    <w:lsdException w:name="footnote text" w:uiPriority="99"/>
    <w:lsdException w:name="annotation text" w:uiPriority="99"/>
    <w:lsdException w:name="header" w:uiPriority="99"/>
    <w:lsdException w:name="footer" w:uiPriority="99"/>
    <w:lsdException w:name="annotation reference" w:uiPriority="99"/>
    <w:lsdException w:name="endnote reference" w:uiPriority="99"/>
    <w:lsdException w:name="Subtitle" w:uiPriority="11" w:qFormat="1"/>
    <w:lsdException w:name="Hyperlink" w:uiPriority="99"/>
    <w:lsdException w:name="Strong" w:uiPriority="22" w:qFormat="1"/>
    <w:lsdException w:name="Emphasis" w:uiPriority="20" w:qFormat="1"/>
    <w:lsdException w:name="Plain Text" w:uiPriority="99"/>
    <w:lsdException w:name="annotation subject" w:uiPriority="99"/>
    <w:lsdException w:name="No Lis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sdException w:name="Book Title" w:uiPriority="33" w:qFormat="1"/>
    <w:lsdException w:name="TOC Heading" w:uiPriority="39" w:qFormat="1"/>
  </w:latentStyles>
  <w:style w:type="paragraph" w:default="1" w:styleId="Normal">
    <w:name w:val="Normal"/>
    <w:qFormat/>
    <w:rsid w:val="00D80CC0"/>
    <w:rPr>
      <w:sz w:val="24"/>
      <w:szCs w:val="24"/>
      <w:lang w:val="en-US"/>
    </w:rPr>
  </w:style>
  <w:style w:type="paragraph" w:styleId="Heading1">
    <w:name w:val="heading 1"/>
    <w:basedOn w:val="Normal"/>
    <w:next w:val="Normal"/>
    <w:link w:val="Heading1Char"/>
    <w:uiPriority w:val="9"/>
    <w:qFormat/>
    <w:rsid w:val="00D80CC0"/>
    <w:pPr>
      <w:keepNext/>
      <w:keepLines/>
      <w:spacing w:after="300" w:line="360" w:lineRule="auto"/>
      <w:outlineLvl w:val="0"/>
    </w:pPr>
    <w:rPr>
      <w:rFonts w:ascii="Arial Bold" w:eastAsiaTheme="majorEastAsia" w:hAnsi="Arial Bold" w:cs="Arial"/>
      <w:color w:val="000000" w:themeColor="text1"/>
      <w:lang w:val="en-GB"/>
    </w:rPr>
  </w:style>
  <w:style w:type="paragraph" w:styleId="Heading2">
    <w:name w:val="heading 2"/>
    <w:basedOn w:val="Normal"/>
    <w:next w:val="Normal"/>
    <w:link w:val="Heading2Char"/>
    <w:uiPriority w:val="9"/>
    <w:unhideWhenUsed/>
    <w:qFormat/>
    <w:rsid w:val="0096510B"/>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782"/>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C6D10"/>
    <w:rPr>
      <w:color w:val="0000FF"/>
      <w:u w:val="single"/>
    </w:rPr>
  </w:style>
  <w:style w:type="paragraph" w:customStyle="1" w:styleId="BasicParagraph">
    <w:name w:val="[Basic Paragraph]"/>
    <w:basedOn w:val="Normal"/>
    <w:rsid w:val="003E3DE4"/>
    <w:pPr>
      <w:widowControl w:val="0"/>
      <w:autoSpaceDE w:val="0"/>
      <w:autoSpaceDN w:val="0"/>
      <w:adjustRightInd w:val="0"/>
      <w:spacing w:line="288" w:lineRule="auto"/>
      <w:textAlignment w:val="center"/>
    </w:pPr>
    <w:rPr>
      <w:rFonts w:ascii="Times-Roman" w:hAnsi="Times-Roman" w:cs="Times-Roman"/>
      <w:color w:val="000000"/>
      <w:lang w:val="en-GB" w:bidi="en-US"/>
    </w:rPr>
  </w:style>
  <w:style w:type="paragraph" w:styleId="Header">
    <w:name w:val="header"/>
    <w:basedOn w:val="Normal"/>
    <w:link w:val="HeaderChar"/>
    <w:uiPriority w:val="99"/>
    <w:rsid w:val="00E96F51"/>
    <w:pPr>
      <w:tabs>
        <w:tab w:val="center" w:pos="4320"/>
        <w:tab w:val="right" w:pos="8640"/>
      </w:tabs>
    </w:pPr>
  </w:style>
  <w:style w:type="paragraph" w:styleId="Footer">
    <w:name w:val="footer"/>
    <w:basedOn w:val="Normal"/>
    <w:link w:val="FooterChar"/>
    <w:uiPriority w:val="99"/>
    <w:rsid w:val="00E96F51"/>
    <w:pPr>
      <w:tabs>
        <w:tab w:val="center" w:pos="4320"/>
        <w:tab w:val="right" w:pos="8640"/>
      </w:tabs>
    </w:pPr>
  </w:style>
  <w:style w:type="paragraph" w:styleId="BalloonText">
    <w:name w:val="Balloon Text"/>
    <w:basedOn w:val="Normal"/>
    <w:link w:val="BalloonTextChar"/>
    <w:uiPriority w:val="99"/>
    <w:rsid w:val="002F63DC"/>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2F63DC"/>
    <w:rPr>
      <w:rFonts w:ascii="Lucida Grande" w:hAnsi="Lucida Grande" w:cs="Lucida Grande"/>
      <w:sz w:val="18"/>
      <w:szCs w:val="18"/>
      <w:lang w:val="en-US"/>
    </w:rPr>
  </w:style>
  <w:style w:type="character" w:customStyle="1" w:styleId="Heading1Char">
    <w:name w:val="Heading 1 Char"/>
    <w:basedOn w:val="DefaultParagraphFont"/>
    <w:link w:val="Heading1"/>
    <w:uiPriority w:val="9"/>
    <w:rsid w:val="00D80CC0"/>
    <w:rPr>
      <w:rFonts w:ascii="Arial Bold" w:eastAsiaTheme="majorEastAsia" w:hAnsi="Arial Bold" w:cs="Arial"/>
      <w:color w:val="000000" w:themeColor="text1"/>
      <w:sz w:val="24"/>
      <w:szCs w:val="24"/>
    </w:rPr>
  </w:style>
  <w:style w:type="paragraph" w:styleId="EndnoteText">
    <w:name w:val="endnote text"/>
    <w:basedOn w:val="Normal"/>
    <w:link w:val="EndnoteTextChar"/>
    <w:rsid w:val="002317C6"/>
    <w:pPr>
      <w:spacing w:after="200" w:line="276" w:lineRule="auto"/>
    </w:pPr>
    <w:rPr>
      <w:rFonts w:asciiTheme="minorHAnsi" w:eastAsiaTheme="minorEastAsia" w:hAnsiTheme="minorHAnsi" w:cstheme="minorBidi"/>
      <w:sz w:val="22"/>
      <w:szCs w:val="22"/>
      <w:lang w:val="en-GB"/>
    </w:rPr>
  </w:style>
  <w:style w:type="character" w:customStyle="1" w:styleId="EndnoteTextChar">
    <w:name w:val="Endnote Text Char"/>
    <w:basedOn w:val="DefaultParagraphFont"/>
    <w:link w:val="EndnoteText"/>
    <w:rsid w:val="002317C6"/>
    <w:rPr>
      <w:rFonts w:asciiTheme="minorHAnsi" w:eastAsiaTheme="minorEastAsia" w:hAnsiTheme="minorHAnsi" w:cstheme="minorBidi"/>
      <w:sz w:val="22"/>
      <w:szCs w:val="22"/>
    </w:rPr>
  </w:style>
  <w:style w:type="paragraph" w:styleId="NoSpacing">
    <w:name w:val="No Spacing"/>
    <w:uiPriority w:val="1"/>
    <w:qFormat/>
    <w:rsid w:val="00D80CC0"/>
    <w:rPr>
      <w:rFonts w:asciiTheme="minorHAnsi" w:eastAsiaTheme="minorEastAsia" w:hAnsiTheme="minorHAnsi" w:cstheme="minorBidi"/>
      <w:sz w:val="22"/>
      <w:szCs w:val="22"/>
    </w:rPr>
  </w:style>
  <w:style w:type="character" w:styleId="Emphasis">
    <w:name w:val="Emphasis"/>
    <w:basedOn w:val="DefaultParagraphFont"/>
    <w:uiPriority w:val="20"/>
    <w:qFormat/>
    <w:rsid w:val="00D80CC0"/>
    <w:rPr>
      <w:i/>
      <w:iCs/>
    </w:rPr>
  </w:style>
  <w:style w:type="character" w:styleId="Strong">
    <w:name w:val="Strong"/>
    <w:basedOn w:val="DefaultParagraphFont"/>
    <w:uiPriority w:val="22"/>
    <w:qFormat/>
    <w:rsid w:val="00D80CC0"/>
    <w:rPr>
      <w:b/>
      <w:bCs/>
    </w:rPr>
  </w:style>
  <w:style w:type="character" w:styleId="EndnoteReference">
    <w:name w:val="endnote reference"/>
    <w:basedOn w:val="DefaultParagraphFont"/>
    <w:uiPriority w:val="99"/>
    <w:unhideWhenUsed/>
    <w:rsid w:val="002317C6"/>
    <w:rPr>
      <w:vertAlign w:val="superscript"/>
    </w:rPr>
  </w:style>
  <w:style w:type="character" w:styleId="BookTitle">
    <w:name w:val="Book Title"/>
    <w:basedOn w:val="DefaultParagraphFont"/>
    <w:uiPriority w:val="33"/>
    <w:qFormat/>
    <w:rsid w:val="00D80CC0"/>
    <w:rPr>
      <w:smallCaps/>
      <w:spacing w:val="5"/>
    </w:rPr>
  </w:style>
  <w:style w:type="character" w:styleId="PageNumber">
    <w:name w:val="page number"/>
    <w:basedOn w:val="DefaultParagraphFont"/>
    <w:rsid w:val="002317C6"/>
  </w:style>
  <w:style w:type="character" w:styleId="FollowedHyperlink">
    <w:name w:val="FollowedHyperlink"/>
    <w:basedOn w:val="DefaultParagraphFont"/>
    <w:rsid w:val="002317C6"/>
    <w:rPr>
      <w:color w:val="800080" w:themeColor="followedHyperlink"/>
      <w:u w:val="single"/>
    </w:rPr>
  </w:style>
  <w:style w:type="paragraph" w:styleId="TOCHeading">
    <w:name w:val="TOC Heading"/>
    <w:basedOn w:val="Heading1"/>
    <w:next w:val="Normal"/>
    <w:uiPriority w:val="39"/>
    <w:unhideWhenUsed/>
    <w:qFormat/>
    <w:rsid w:val="00D80CC0"/>
    <w:pPr>
      <w:outlineLvl w:val="9"/>
    </w:pPr>
    <w:rPr>
      <w:rFonts w:asciiTheme="majorHAnsi" w:hAnsiTheme="majorHAnsi" w:cstheme="majorBidi"/>
      <w:b/>
      <w:bCs/>
      <w:color w:val="365F91" w:themeColor="accent1" w:themeShade="BF"/>
      <w:sz w:val="28"/>
      <w:szCs w:val="28"/>
      <w:lang w:val="en-US"/>
    </w:rPr>
  </w:style>
  <w:style w:type="paragraph" w:styleId="TOC1">
    <w:name w:val="toc 1"/>
    <w:basedOn w:val="Normal"/>
    <w:next w:val="Normal"/>
    <w:autoRedefine/>
    <w:uiPriority w:val="39"/>
    <w:rsid w:val="002317C6"/>
    <w:pPr>
      <w:spacing w:before="120"/>
    </w:pPr>
    <w:rPr>
      <w:rFonts w:asciiTheme="minorHAnsi" w:hAnsiTheme="minorHAnsi"/>
      <w:b/>
    </w:rPr>
  </w:style>
  <w:style w:type="paragraph" w:styleId="TOC2">
    <w:name w:val="toc 2"/>
    <w:basedOn w:val="Normal"/>
    <w:next w:val="Normal"/>
    <w:autoRedefine/>
    <w:rsid w:val="002317C6"/>
    <w:pPr>
      <w:ind w:left="240"/>
    </w:pPr>
    <w:rPr>
      <w:rFonts w:asciiTheme="minorHAnsi" w:hAnsiTheme="minorHAnsi"/>
      <w:b/>
      <w:sz w:val="22"/>
      <w:szCs w:val="22"/>
    </w:rPr>
  </w:style>
  <w:style w:type="paragraph" w:styleId="TOC3">
    <w:name w:val="toc 3"/>
    <w:basedOn w:val="Normal"/>
    <w:next w:val="Normal"/>
    <w:autoRedefine/>
    <w:rsid w:val="002317C6"/>
    <w:pPr>
      <w:ind w:left="480"/>
    </w:pPr>
    <w:rPr>
      <w:rFonts w:asciiTheme="minorHAnsi" w:hAnsiTheme="minorHAnsi"/>
      <w:sz w:val="22"/>
      <w:szCs w:val="22"/>
    </w:rPr>
  </w:style>
  <w:style w:type="paragraph" w:styleId="TOC4">
    <w:name w:val="toc 4"/>
    <w:basedOn w:val="Normal"/>
    <w:next w:val="Normal"/>
    <w:autoRedefine/>
    <w:rsid w:val="002317C6"/>
    <w:pPr>
      <w:ind w:left="720"/>
    </w:pPr>
    <w:rPr>
      <w:rFonts w:asciiTheme="minorHAnsi" w:hAnsiTheme="minorHAnsi"/>
      <w:sz w:val="20"/>
      <w:szCs w:val="20"/>
    </w:rPr>
  </w:style>
  <w:style w:type="paragraph" w:styleId="TOC5">
    <w:name w:val="toc 5"/>
    <w:basedOn w:val="Normal"/>
    <w:next w:val="Normal"/>
    <w:autoRedefine/>
    <w:rsid w:val="002317C6"/>
    <w:pPr>
      <w:ind w:left="960"/>
    </w:pPr>
    <w:rPr>
      <w:rFonts w:asciiTheme="minorHAnsi" w:hAnsiTheme="minorHAnsi"/>
      <w:sz w:val="20"/>
      <w:szCs w:val="20"/>
    </w:rPr>
  </w:style>
  <w:style w:type="paragraph" w:styleId="TOC6">
    <w:name w:val="toc 6"/>
    <w:basedOn w:val="Normal"/>
    <w:next w:val="Normal"/>
    <w:autoRedefine/>
    <w:rsid w:val="002317C6"/>
    <w:pPr>
      <w:ind w:left="1200"/>
    </w:pPr>
    <w:rPr>
      <w:rFonts w:asciiTheme="minorHAnsi" w:hAnsiTheme="minorHAnsi"/>
      <w:sz w:val="20"/>
      <w:szCs w:val="20"/>
    </w:rPr>
  </w:style>
  <w:style w:type="paragraph" w:styleId="TOC7">
    <w:name w:val="toc 7"/>
    <w:basedOn w:val="Normal"/>
    <w:next w:val="Normal"/>
    <w:autoRedefine/>
    <w:rsid w:val="002317C6"/>
    <w:pPr>
      <w:ind w:left="1440"/>
    </w:pPr>
    <w:rPr>
      <w:rFonts w:asciiTheme="minorHAnsi" w:hAnsiTheme="minorHAnsi"/>
      <w:sz w:val="20"/>
      <w:szCs w:val="20"/>
    </w:rPr>
  </w:style>
  <w:style w:type="paragraph" w:styleId="TOC8">
    <w:name w:val="toc 8"/>
    <w:basedOn w:val="Normal"/>
    <w:next w:val="Normal"/>
    <w:autoRedefine/>
    <w:rsid w:val="002317C6"/>
    <w:pPr>
      <w:ind w:left="1680"/>
    </w:pPr>
    <w:rPr>
      <w:rFonts w:asciiTheme="minorHAnsi" w:hAnsiTheme="minorHAnsi"/>
      <w:sz w:val="20"/>
      <w:szCs w:val="20"/>
    </w:rPr>
  </w:style>
  <w:style w:type="paragraph" w:styleId="TOC9">
    <w:name w:val="toc 9"/>
    <w:basedOn w:val="Normal"/>
    <w:next w:val="Normal"/>
    <w:autoRedefine/>
    <w:rsid w:val="002317C6"/>
    <w:pPr>
      <w:ind w:left="1920"/>
    </w:pPr>
    <w:rPr>
      <w:rFonts w:asciiTheme="minorHAnsi" w:hAnsiTheme="minorHAnsi"/>
      <w:sz w:val="20"/>
      <w:szCs w:val="20"/>
    </w:rPr>
  </w:style>
  <w:style w:type="paragraph" w:styleId="PlainText">
    <w:name w:val="Plain Text"/>
    <w:basedOn w:val="Normal"/>
    <w:link w:val="PlainTextChar"/>
    <w:uiPriority w:val="99"/>
    <w:unhideWhenUsed/>
    <w:rsid w:val="00322198"/>
    <w:rPr>
      <w:rFonts w:ascii="Calibri" w:eastAsia="Cambria" w:hAnsi="Calibri"/>
      <w:sz w:val="22"/>
      <w:szCs w:val="21"/>
      <w:lang w:val="en-GB"/>
    </w:rPr>
  </w:style>
  <w:style w:type="character" w:customStyle="1" w:styleId="PlainTextChar">
    <w:name w:val="Plain Text Char"/>
    <w:basedOn w:val="DefaultParagraphFont"/>
    <w:link w:val="PlainText"/>
    <w:uiPriority w:val="99"/>
    <w:rsid w:val="00322198"/>
    <w:rPr>
      <w:rFonts w:ascii="Calibri" w:eastAsia="Cambria" w:hAnsi="Calibri"/>
      <w:sz w:val="22"/>
      <w:szCs w:val="21"/>
    </w:rPr>
  </w:style>
  <w:style w:type="paragraph" w:customStyle="1" w:styleId="Heading21">
    <w:name w:val="Heading 21"/>
    <w:basedOn w:val="Normal"/>
    <w:next w:val="Normal"/>
    <w:uiPriority w:val="9"/>
    <w:unhideWhenUsed/>
    <w:qFormat/>
    <w:rsid w:val="00D80CC0"/>
    <w:pPr>
      <w:keepNext/>
      <w:keepLines/>
      <w:spacing w:before="200" w:line="276" w:lineRule="auto"/>
      <w:outlineLvl w:val="1"/>
    </w:pPr>
    <w:rPr>
      <w:rFonts w:ascii="Cambria" w:hAnsi="Cambria"/>
      <w:b/>
      <w:bCs/>
      <w:color w:val="4F81BD"/>
      <w:sz w:val="26"/>
      <w:szCs w:val="26"/>
      <w:lang w:val="en-GB"/>
    </w:rPr>
  </w:style>
  <w:style w:type="paragraph" w:customStyle="1" w:styleId="Heading31">
    <w:name w:val="Heading 31"/>
    <w:basedOn w:val="Normal"/>
    <w:next w:val="Normal"/>
    <w:uiPriority w:val="9"/>
    <w:unhideWhenUsed/>
    <w:qFormat/>
    <w:rsid w:val="00D80CC0"/>
    <w:pPr>
      <w:keepNext/>
      <w:keepLines/>
      <w:spacing w:before="200" w:line="276" w:lineRule="auto"/>
      <w:outlineLvl w:val="2"/>
    </w:pPr>
    <w:rPr>
      <w:rFonts w:ascii="Cambria" w:hAnsi="Cambria"/>
      <w:b/>
      <w:bCs/>
      <w:color w:val="4F81BD"/>
      <w:lang w:val="en-GB"/>
    </w:rPr>
  </w:style>
  <w:style w:type="paragraph" w:customStyle="1" w:styleId="Heading41">
    <w:name w:val="Heading 41"/>
    <w:basedOn w:val="Normal"/>
    <w:next w:val="Normal"/>
    <w:uiPriority w:val="9"/>
    <w:unhideWhenUsed/>
    <w:qFormat/>
    <w:rsid w:val="00D80CC0"/>
    <w:pPr>
      <w:keepNext/>
      <w:keepLines/>
      <w:spacing w:before="200" w:line="276" w:lineRule="auto"/>
      <w:outlineLvl w:val="3"/>
    </w:pPr>
    <w:rPr>
      <w:rFonts w:ascii="Cambria" w:hAnsi="Cambria"/>
      <w:b/>
      <w:bCs/>
      <w:i/>
      <w:iCs/>
      <w:color w:val="4F81BD"/>
      <w:lang w:val="en-GB"/>
    </w:rPr>
  </w:style>
  <w:style w:type="paragraph" w:customStyle="1" w:styleId="Heading51">
    <w:name w:val="Heading 51"/>
    <w:basedOn w:val="Normal"/>
    <w:next w:val="Normal"/>
    <w:uiPriority w:val="9"/>
    <w:unhideWhenUsed/>
    <w:qFormat/>
    <w:rsid w:val="00D80CC0"/>
    <w:pPr>
      <w:keepNext/>
      <w:keepLines/>
      <w:spacing w:before="200" w:line="276" w:lineRule="auto"/>
      <w:outlineLvl w:val="4"/>
    </w:pPr>
    <w:rPr>
      <w:rFonts w:ascii="Cambria" w:hAnsi="Cambria"/>
      <w:color w:val="243F60"/>
      <w:lang w:val="en-GB"/>
    </w:rPr>
  </w:style>
  <w:style w:type="paragraph" w:customStyle="1" w:styleId="ListParagraph1">
    <w:name w:val="List Paragraph1"/>
    <w:basedOn w:val="Normal"/>
    <w:next w:val="ListParagraph"/>
    <w:uiPriority w:val="34"/>
    <w:qFormat/>
    <w:rsid w:val="00D80CC0"/>
    <w:pPr>
      <w:spacing w:after="200" w:line="276" w:lineRule="auto"/>
      <w:ind w:left="720"/>
      <w:contextualSpacing/>
    </w:pPr>
    <w:rPr>
      <w:rFonts w:ascii="Calibri" w:eastAsia="Calibri" w:hAnsi="Calibri"/>
      <w:sz w:val="22"/>
      <w:szCs w:val="22"/>
      <w:lang w:val="en-GB"/>
    </w:rPr>
  </w:style>
  <w:style w:type="paragraph" w:styleId="ListParagraph">
    <w:name w:val="List Paragraph"/>
    <w:basedOn w:val="Normal"/>
    <w:uiPriority w:val="34"/>
    <w:qFormat/>
    <w:rsid w:val="00D80CC0"/>
    <w:pPr>
      <w:ind w:left="720"/>
      <w:contextualSpacing/>
    </w:pPr>
  </w:style>
  <w:style w:type="paragraph" w:customStyle="1" w:styleId="Subtitle1">
    <w:name w:val="Subtitle1"/>
    <w:basedOn w:val="Normal"/>
    <w:next w:val="Normal"/>
    <w:uiPriority w:val="11"/>
    <w:qFormat/>
    <w:rsid w:val="00D80CC0"/>
    <w:pPr>
      <w:numPr>
        <w:ilvl w:val="1"/>
      </w:numPr>
      <w:spacing w:after="200" w:line="276" w:lineRule="auto"/>
    </w:pPr>
    <w:rPr>
      <w:rFonts w:ascii="Cambria" w:hAnsi="Cambria"/>
      <w:i/>
      <w:iCs/>
      <w:color w:val="4F81BD"/>
      <w:spacing w:val="15"/>
      <w:lang w:val="en-GB"/>
    </w:rPr>
  </w:style>
  <w:style w:type="paragraph" w:styleId="Subtitle">
    <w:name w:val="Subtitle"/>
    <w:basedOn w:val="Normal"/>
    <w:next w:val="Normal"/>
    <w:link w:val="SubtitleChar"/>
    <w:uiPriority w:val="11"/>
    <w:qFormat/>
    <w:rsid w:val="00D80CC0"/>
    <w:pPr>
      <w:numPr>
        <w:ilvl w:val="1"/>
      </w:numPr>
    </w:pPr>
    <w:rPr>
      <w:rFonts w:ascii="Cambria" w:hAnsi="Cambria"/>
      <w:i/>
      <w:iCs/>
      <w:color w:val="4F81BD"/>
      <w:spacing w:val="15"/>
      <w:sz w:val="20"/>
      <w:szCs w:val="20"/>
      <w:lang w:val="en-GB"/>
    </w:rPr>
  </w:style>
  <w:style w:type="character" w:customStyle="1" w:styleId="SubtitleChar">
    <w:name w:val="Subtitle Char"/>
    <w:basedOn w:val="DefaultParagraphFont"/>
    <w:link w:val="Subtitle"/>
    <w:uiPriority w:val="11"/>
    <w:rsid w:val="00D80CC0"/>
    <w:rPr>
      <w:rFonts w:ascii="Cambria" w:hAnsi="Cambria"/>
      <w:i/>
      <w:iCs/>
      <w:color w:val="4F81BD"/>
      <w:spacing w:val="15"/>
    </w:rPr>
  </w:style>
  <w:style w:type="character" w:styleId="FootnoteReference">
    <w:name w:val="footnote reference"/>
    <w:basedOn w:val="DefaultParagraphFont"/>
    <w:rsid w:val="000A70B0"/>
    <w:rPr>
      <w:vertAlign w:val="superscript"/>
    </w:rPr>
  </w:style>
  <w:style w:type="paragraph" w:customStyle="1" w:styleId="Default">
    <w:name w:val="Default"/>
    <w:rsid w:val="000A70B0"/>
    <w:pPr>
      <w:autoSpaceDE w:val="0"/>
      <w:autoSpaceDN w:val="0"/>
      <w:adjustRightInd w:val="0"/>
    </w:pPr>
    <w:rPr>
      <w:rFonts w:ascii="Calibri" w:eastAsiaTheme="minorHAnsi" w:hAnsi="Calibri" w:cs="Calibri"/>
      <w:color w:val="000000"/>
      <w:sz w:val="24"/>
      <w:szCs w:val="24"/>
    </w:rPr>
  </w:style>
  <w:style w:type="paragraph" w:styleId="FootnoteText">
    <w:name w:val="footnote text"/>
    <w:basedOn w:val="Normal"/>
    <w:link w:val="FootnoteTextChar"/>
    <w:uiPriority w:val="99"/>
    <w:unhideWhenUsed/>
    <w:rsid w:val="000A70B0"/>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0A70B0"/>
    <w:rPr>
      <w:rFonts w:asciiTheme="minorHAnsi" w:eastAsiaTheme="minorHAnsi" w:hAnsiTheme="minorHAnsi" w:cstheme="minorBidi"/>
    </w:rPr>
  </w:style>
  <w:style w:type="character" w:customStyle="1" w:styleId="Heading2Char">
    <w:name w:val="Heading 2 Char"/>
    <w:basedOn w:val="DefaultParagraphFont"/>
    <w:link w:val="Heading2"/>
    <w:uiPriority w:val="9"/>
    <w:rsid w:val="0096510B"/>
    <w:rPr>
      <w:rFonts w:asciiTheme="majorHAnsi" w:eastAsiaTheme="majorEastAsia" w:hAnsiTheme="majorHAnsi" w:cstheme="majorBidi"/>
      <w:b/>
      <w:bCs/>
      <w:color w:val="4F81BD" w:themeColor="accent1"/>
      <w:sz w:val="26"/>
      <w:szCs w:val="26"/>
    </w:rPr>
  </w:style>
  <w:style w:type="paragraph" w:customStyle="1" w:styleId="HANGINGINDENT">
    <w:name w:val="HANGING INDENT"/>
    <w:basedOn w:val="Normal"/>
    <w:next w:val="Normal"/>
    <w:rsid w:val="0096510B"/>
    <w:pPr>
      <w:tabs>
        <w:tab w:val="left" w:pos="-720"/>
      </w:tabs>
      <w:suppressAutoHyphens/>
      <w:ind w:left="426" w:hanging="709"/>
    </w:pPr>
    <w:rPr>
      <w:sz w:val="18"/>
      <w:szCs w:val="20"/>
      <w:lang w:val="en-GB"/>
    </w:rPr>
  </w:style>
  <w:style w:type="character" w:styleId="PlaceholderText">
    <w:name w:val="Placeholder Text"/>
    <w:basedOn w:val="DefaultParagraphFont"/>
    <w:uiPriority w:val="99"/>
    <w:rsid w:val="0096510B"/>
    <w:rPr>
      <w:color w:val="808080"/>
    </w:rPr>
  </w:style>
  <w:style w:type="character" w:customStyle="1" w:styleId="HeaderChar">
    <w:name w:val="Header Char"/>
    <w:basedOn w:val="DefaultParagraphFont"/>
    <w:link w:val="Header"/>
    <w:uiPriority w:val="99"/>
    <w:rsid w:val="0096510B"/>
    <w:rPr>
      <w:sz w:val="24"/>
      <w:szCs w:val="24"/>
      <w:lang w:val="en-US"/>
    </w:rPr>
  </w:style>
  <w:style w:type="character" w:customStyle="1" w:styleId="FooterChar">
    <w:name w:val="Footer Char"/>
    <w:basedOn w:val="DefaultParagraphFont"/>
    <w:link w:val="Footer"/>
    <w:uiPriority w:val="99"/>
    <w:rsid w:val="0096510B"/>
    <w:rPr>
      <w:sz w:val="24"/>
      <w:szCs w:val="24"/>
      <w:lang w:val="en-US"/>
    </w:rPr>
  </w:style>
  <w:style w:type="character" w:customStyle="1" w:styleId="hithilite3">
    <w:name w:val="hithilite3"/>
    <w:basedOn w:val="DefaultParagraphFont"/>
    <w:rsid w:val="0096510B"/>
    <w:rPr>
      <w:shd w:val="clear" w:color="auto" w:fill="FFFF00"/>
    </w:rPr>
  </w:style>
  <w:style w:type="character" w:customStyle="1" w:styleId="frlabel1">
    <w:name w:val="fr_label1"/>
    <w:basedOn w:val="DefaultParagraphFont"/>
    <w:rsid w:val="0096510B"/>
    <w:rPr>
      <w:b/>
      <w:bCs/>
    </w:rPr>
  </w:style>
  <w:style w:type="character" w:styleId="CommentReference">
    <w:name w:val="annotation reference"/>
    <w:basedOn w:val="DefaultParagraphFont"/>
    <w:uiPriority w:val="99"/>
    <w:unhideWhenUsed/>
    <w:rsid w:val="0096510B"/>
    <w:rPr>
      <w:sz w:val="16"/>
      <w:szCs w:val="16"/>
    </w:rPr>
  </w:style>
  <w:style w:type="paragraph" w:styleId="CommentText">
    <w:name w:val="annotation text"/>
    <w:basedOn w:val="Normal"/>
    <w:link w:val="CommentTextChar"/>
    <w:uiPriority w:val="99"/>
    <w:unhideWhenUsed/>
    <w:rsid w:val="0096510B"/>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96510B"/>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96510B"/>
    <w:rPr>
      <w:b/>
      <w:bCs/>
    </w:rPr>
  </w:style>
  <w:style w:type="character" w:customStyle="1" w:styleId="CommentSubjectChar">
    <w:name w:val="Comment Subject Char"/>
    <w:basedOn w:val="CommentTextChar"/>
    <w:link w:val="CommentSubject"/>
    <w:uiPriority w:val="99"/>
    <w:rsid w:val="0096510B"/>
    <w:rPr>
      <w:rFonts w:asciiTheme="minorHAnsi" w:eastAsiaTheme="minorHAnsi" w:hAnsiTheme="minorHAnsi" w:cstheme="minorBidi"/>
      <w:b/>
      <w:bCs/>
    </w:rPr>
  </w:style>
  <w:style w:type="paragraph" w:styleId="Revision">
    <w:name w:val="Revision"/>
    <w:hidden/>
    <w:uiPriority w:val="99"/>
    <w:rsid w:val="0096510B"/>
    <w:rPr>
      <w:rFonts w:asciiTheme="minorHAnsi" w:eastAsiaTheme="minorHAnsi" w:hAnsiTheme="minorHAnsi" w:cstheme="minorBidi"/>
      <w:sz w:val="22"/>
      <w:szCs w:val="22"/>
    </w:rPr>
  </w:style>
  <w:style w:type="character" w:customStyle="1" w:styleId="reference-text">
    <w:name w:val="reference-text"/>
    <w:basedOn w:val="DefaultParagraphFont"/>
    <w:rsid w:val="0096510B"/>
  </w:style>
  <w:style w:type="paragraph" w:customStyle="1" w:styleId="EndNoteBibliographyTitle">
    <w:name w:val="EndNote Bibliography Title"/>
    <w:basedOn w:val="Normal"/>
    <w:link w:val="EndNoteBibliographyTitleChar"/>
    <w:rsid w:val="0096510B"/>
    <w:pPr>
      <w:spacing w:line="276" w:lineRule="auto"/>
      <w:jc w:val="center"/>
    </w:pPr>
    <w:rPr>
      <w:rFonts w:ascii="Calibri" w:eastAsiaTheme="minorHAnsi" w:hAnsi="Calibri" w:cstheme="minorBidi"/>
      <w:noProof/>
      <w:sz w:val="22"/>
      <w:szCs w:val="22"/>
    </w:rPr>
  </w:style>
  <w:style w:type="character" w:customStyle="1" w:styleId="EndNoteBibliographyTitleChar">
    <w:name w:val="EndNote Bibliography Title Char"/>
    <w:basedOn w:val="DefaultParagraphFont"/>
    <w:link w:val="EndNoteBibliographyTitle"/>
    <w:rsid w:val="0096510B"/>
    <w:rPr>
      <w:rFonts w:ascii="Calibri" w:eastAsiaTheme="minorHAnsi" w:hAnsi="Calibri" w:cstheme="minorBidi"/>
      <w:noProof/>
      <w:sz w:val="22"/>
      <w:szCs w:val="22"/>
      <w:lang w:val="en-US"/>
    </w:rPr>
  </w:style>
  <w:style w:type="paragraph" w:customStyle="1" w:styleId="EndNoteBibliography">
    <w:name w:val="EndNote Bibliography"/>
    <w:basedOn w:val="Normal"/>
    <w:link w:val="EndNoteBibliographyChar"/>
    <w:rsid w:val="0096510B"/>
    <w:pPr>
      <w:spacing w:after="20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96510B"/>
    <w:rPr>
      <w:rFonts w:ascii="Calibri" w:eastAsiaTheme="minorHAnsi" w:hAnsi="Calibri" w:cstheme="minorBidi"/>
      <w:noProof/>
      <w:sz w:val="22"/>
      <w:szCs w:val="22"/>
      <w:lang w:val="en-US"/>
    </w:rPr>
  </w:style>
  <w:style w:type="character" w:customStyle="1" w:styleId="googqs-tidbit">
    <w:name w:val="goog_qs-tidbit"/>
    <w:basedOn w:val="DefaultParagraphFont"/>
    <w:rsid w:val="000911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toc 1" w:uiPriority="39"/>
    <w:lsdException w:name="footnote text" w:uiPriority="99"/>
    <w:lsdException w:name="annotation text" w:uiPriority="99"/>
    <w:lsdException w:name="header" w:uiPriority="99"/>
    <w:lsdException w:name="footer" w:uiPriority="99"/>
    <w:lsdException w:name="annotation reference" w:uiPriority="99"/>
    <w:lsdException w:name="endnote reference" w:uiPriority="99"/>
    <w:lsdException w:name="Subtitle" w:uiPriority="11" w:qFormat="1"/>
    <w:lsdException w:name="Hyperlink" w:uiPriority="99"/>
    <w:lsdException w:name="Strong" w:uiPriority="22" w:qFormat="1"/>
    <w:lsdException w:name="Emphasis" w:uiPriority="20" w:qFormat="1"/>
    <w:lsdException w:name="Plain Text" w:uiPriority="99"/>
    <w:lsdException w:name="annotation subject" w:uiPriority="99"/>
    <w:lsdException w:name="No Lis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sdException w:name="Book Title" w:uiPriority="33" w:qFormat="1"/>
    <w:lsdException w:name="TOC Heading" w:uiPriority="39" w:qFormat="1"/>
  </w:latentStyles>
  <w:style w:type="paragraph" w:default="1" w:styleId="Normal">
    <w:name w:val="Normal"/>
    <w:qFormat/>
    <w:rsid w:val="00D80CC0"/>
    <w:rPr>
      <w:sz w:val="24"/>
      <w:szCs w:val="24"/>
      <w:lang w:val="en-US"/>
    </w:rPr>
  </w:style>
  <w:style w:type="paragraph" w:styleId="Heading1">
    <w:name w:val="heading 1"/>
    <w:basedOn w:val="Normal"/>
    <w:next w:val="Normal"/>
    <w:link w:val="Heading1Char"/>
    <w:uiPriority w:val="9"/>
    <w:qFormat/>
    <w:rsid w:val="00D80CC0"/>
    <w:pPr>
      <w:keepNext/>
      <w:keepLines/>
      <w:spacing w:after="300" w:line="360" w:lineRule="auto"/>
      <w:outlineLvl w:val="0"/>
    </w:pPr>
    <w:rPr>
      <w:rFonts w:ascii="Arial Bold" w:eastAsiaTheme="majorEastAsia" w:hAnsi="Arial Bold" w:cs="Arial"/>
      <w:color w:val="000000" w:themeColor="text1"/>
      <w:lang w:val="en-GB"/>
    </w:rPr>
  </w:style>
  <w:style w:type="paragraph" w:styleId="Heading2">
    <w:name w:val="heading 2"/>
    <w:basedOn w:val="Normal"/>
    <w:next w:val="Normal"/>
    <w:link w:val="Heading2Char"/>
    <w:uiPriority w:val="9"/>
    <w:unhideWhenUsed/>
    <w:qFormat/>
    <w:rsid w:val="0096510B"/>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782"/>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C6D10"/>
    <w:rPr>
      <w:color w:val="0000FF"/>
      <w:u w:val="single"/>
    </w:rPr>
  </w:style>
  <w:style w:type="paragraph" w:customStyle="1" w:styleId="BasicParagraph">
    <w:name w:val="[Basic Paragraph]"/>
    <w:basedOn w:val="Normal"/>
    <w:rsid w:val="003E3DE4"/>
    <w:pPr>
      <w:widowControl w:val="0"/>
      <w:autoSpaceDE w:val="0"/>
      <w:autoSpaceDN w:val="0"/>
      <w:adjustRightInd w:val="0"/>
      <w:spacing w:line="288" w:lineRule="auto"/>
      <w:textAlignment w:val="center"/>
    </w:pPr>
    <w:rPr>
      <w:rFonts w:ascii="Times-Roman" w:hAnsi="Times-Roman" w:cs="Times-Roman"/>
      <w:color w:val="000000"/>
      <w:lang w:val="en-GB" w:bidi="en-US"/>
    </w:rPr>
  </w:style>
  <w:style w:type="paragraph" w:styleId="Header">
    <w:name w:val="header"/>
    <w:basedOn w:val="Normal"/>
    <w:link w:val="HeaderChar"/>
    <w:uiPriority w:val="99"/>
    <w:rsid w:val="00E96F51"/>
    <w:pPr>
      <w:tabs>
        <w:tab w:val="center" w:pos="4320"/>
        <w:tab w:val="right" w:pos="8640"/>
      </w:tabs>
    </w:pPr>
  </w:style>
  <w:style w:type="paragraph" w:styleId="Footer">
    <w:name w:val="footer"/>
    <w:basedOn w:val="Normal"/>
    <w:link w:val="FooterChar"/>
    <w:uiPriority w:val="99"/>
    <w:rsid w:val="00E96F51"/>
    <w:pPr>
      <w:tabs>
        <w:tab w:val="center" w:pos="4320"/>
        <w:tab w:val="right" w:pos="8640"/>
      </w:tabs>
    </w:pPr>
  </w:style>
  <w:style w:type="paragraph" w:styleId="BalloonText">
    <w:name w:val="Balloon Text"/>
    <w:basedOn w:val="Normal"/>
    <w:link w:val="BalloonTextChar"/>
    <w:uiPriority w:val="99"/>
    <w:rsid w:val="002F63DC"/>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2F63DC"/>
    <w:rPr>
      <w:rFonts w:ascii="Lucida Grande" w:hAnsi="Lucida Grande" w:cs="Lucida Grande"/>
      <w:sz w:val="18"/>
      <w:szCs w:val="18"/>
      <w:lang w:val="en-US"/>
    </w:rPr>
  </w:style>
  <w:style w:type="character" w:customStyle="1" w:styleId="Heading1Char">
    <w:name w:val="Heading 1 Char"/>
    <w:basedOn w:val="DefaultParagraphFont"/>
    <w:link w:val="Heading1"/>
    <w:uiPriority w:val="9"/>
    <w:rsid w:val="00D80CC0"/>
    <w:rPr>
      <w:rFonts w:ascii="Arial Bold" w:eastAsiaTheme="majorEastAsia" w:hAnsi="Arial Bold" w:cs="Arial"/>
      <w:color w:val="000000" w:themeColor="text1"/>
      <w:sz w:val="24"/>
      <w:szCs w:val="24"/>
    </w:rPr>
  </w:style>
  <w:style w:type="paragraph" w:styleId="EndnoteText">
    <w:name w:val="endnote text"/>
    <w:basedOn w:val="Normal"/>
    <w:link w:val="EndnoteTextChar"/>
    <w:rsid w:val="002317C6"/>
    <w:pPr>
      <w:spacing w:after="200" w:line="276" w:lineRule="auto"/>
    </w:pPr>
    <w:rPr>
      <w:rFonts w:asciiTheme="minorHAnsi" w:eastAsiaTheme="minorEastAsia" w:hAnsiTheme="minorHAnsi" w:cstheme="minorBidi"/>
      <w:sz w:val="22"/>
      <w:szCs w:val="22"/>
      <w:lang w:val="en-GB"/>
    </w:rPr>
  </w:style>
  <w:style w:type="character" w:customStyle="1" w:styleId="EndnoteTextChar">
    <w:name w:val="Endnote Text Char"/>
    <w:basedOn w:val="DefaultParagraphFont"/>
    <w:link w:val="EndnoteText"/>
    <w:rsid w:val="002317C6"/>
    <w:rPr>
      <w:rFonts w:asciiTheme="minorHAnsi" w:eastAsiaTheme="minorEastAsia" w:hAnsiTheme="minorHAnsi" w:cstheme="minorBidi"/>
      <w:sz w:val="22"/>
      <w:szCs w:val="22"/>
    </w:rPr>
  </w:style>
  <w:style w:type="paragraph" w:styleId="NoSpacing">
    <w:name w:val="No Spacing"/>
    <w:uiPriority w:val="1"/>
    <w:qFormat/>
    <w:rsid w:val="00D80CC0"/>
    <w:rPr>
      <w:rFonts w:asciiTheme="minorHAnsi" w:eastAsiaTheme="minorEastAsia" w:hAnsiTheme="minorHAnsi" w:cstheme="minorBidi"/>
      <w:sz w:val="22"/>
      <w:szCs w:val="22"/>
    </w:rPr>
  </w:style>
  <w:style w:type="character" w:styleId="Emphasis">
    <w:name w:val="Emphasis"/>
    <w:basedOn w:val="DefaultParagraphFont"/>
    <w:uiPriority w:val="20"/>
    <w:qFormat/>
    <w:rsid w:val="00D80CC0"/>
    <w:rPr>
      <w:i/>
      <w:iCs/>
    </w:rPr>
  </w:style>
  <w:style w:type="character" w:styleId="Strong">
    <w:name w:val="Strong"/>
    <w:basedOn w:val="DefaultParagraphFont"/>
    <w:uiPriority w:val="22"/>
    <w:qFormat/>
    <w:rsid w:val="00D80CC0"/>
    <w:rPr>
      <w:b/>
      <w:bCs/>
    </w:rPr>
  </w:style>
  <w:style w:type="character" w:styleId="EndnoteReference">
    <w:name w:val="endnote reference"/>
    <w:basedOn w:val="DefaultParagraphFont"/>
    <w:uiPriority w:val="99"/>
    <w:unhideWhenUsed/>
    <w:rsid w:val="002317C6"/>
    <w:rPr>
      <w:vertAlign w:val="superscript"/>
    </w:rPr>
  </w:style>
  <w:style w:type="character" w:styleId="BookTitle">
    <w:name w:val="Book Title"/>
    <w:basedOn w:val="DefaultParagraphFont"/>
    <w:uiPriority w:val="33"/>
    <w:qFormat/>
    <w:rsid w:val="00D80CC0"/>
    <w:rPr>
      <w:smallCaps/>
      <w:spacing w:val="5"/>
    </w:rPr>
  </w:style>
  <w:style w:type="character" w:styleId="PageNumber">
    <w:name w:val="page number"/>
    <w:basedOn w:val="DefaultParagraphFont"/>
    <w:rsid w:val="002317C6"/>
  </w:style>
  <w:style w:type="character" w:styleId="FollowedHyperlink">
    <w:name w:val="FollowedHyperlink"/>
    <w:basedOn w:val="DefaultParagraphFont"/>
    <w:rsid w:val="002317C6"/>
    <w:rPr>
      <w:color w:val="800080" w:themeColor="followedHyperlink"/>
      <w:u w:val="single"/>
    </w:rPr>
  </w:style>
  <w:style w:type="paragraph" w:styleId="TOCHeading">
    <w:name w:val="TOC Heading"/>
    <w:basedOn w:val="Heading1"/>
    <w:next w:val="Normal"/>
    <w:uiPriority w:val="39"/>
    <w:unhideWhenUsed/>
    <w:qFormat/>
    <w:rsid w:val="00D80CC0"/>
    <w:pPr>
      <w:outlineLvl w:val="9"/>
    </w:pPr>
    <w:rPr>
      <w:rFonts w:asciiTheme="majorHAnsi" w:hAnsiTheme="majorHAnsi" w:cstheme="majorBidi"/>
      <w:b/>
      <w:bCs/>
      <w:color w:val="365F91" w:themeColor="accent1" w:themeShade="BF"/>
      <w:sz w:val="28"/>
      <w:szCs w:val="28"/>
      <w:lang w:val="en-US"/>
    </w:rPr>
  </w:style>
  <w:style w:type="paragraph" w:styleId="TOC1">
    <w:name w:val="toc 1"/>
    <w:basedOn w:val="Normal"/>
    <w:next w:val="Normal"/>
    <w:autoRedefine/>
    <w:uiPriority w:val="39"/>
    <w:rsid w:val="002317C6"/>
    <w:pPr>
      <w:spacing w:before="120"/>
    </w:pPr>
    <w:rPr>
      <w:rFonts w:asciiTheme="minorHAnsi" w:hAnsiTheme="minorHAnsi"/>
      <w:b/>
    </w:rPr>
  </w:style>
  <w:style w:type="paragraph" w:styleId="TOC2">
    <w:name w:val="toc 2"/>
    <w:basedOn w:val="Normal"/>
    <w:next w:val="Normal"/>
    <w:autoRedefine/>
    <w:rsid w:val="002317C6"/>
    <w:pPr>
      <w:ind w:left="240"/>
    </w:pPr>
    <w:rPr>
      <w:rFonts w:asciiTheme="minorHAnsi" w:hAnsiTheme="minorHAnsi"/>
      <w:b/>
      <w:sz w:val="22"/>
      <w:szCs w:val="22"/>
    </w:rPr>
  </w:style>
  <w:style w:type="paragraph" w:styleId="TOC3">
    <w:name w:val="toc 3"/>
    <w:basedOn w:val="Normal"/>
    <w:next w:val="Normal"/>
    <w:autoRedefine/>
    <w:rsid w:val="002317C6"/>
    <w:pPr>
      <w:ind w:left="480"/>
    </w:pPr>
    <w:rPr>
      <w:rFonts w:asciiTheme="minorHAnsi" w:hAnsiTheme="minorHAnsi"/>
      <w:sz w:val="22"/>
      <w:szCs w:val="22"/>
    </w:rPr>
  </w:style>
  <w:style w:type="paragraph" w:styleId="TOC4">
    <w:name w:val="toc 4"/>
    <w:basedOn w:val="Normal"/>
    <w:next w:val="Normal"/>
    <w:autoRedefine/>
    <w:rsid w:val="002317C6"/>
    <w:pPr>
      <w:ind w:left="720"/>
    </w:pPr>
    <w:rPr>
      <w:rFonts w:asciiTheme="minorHAnsi" w:hAnsiTheme="minorHAnsi"/>
      <w:sz w:val="20"/>
      <w:szCs w:val="20"/>
    </w:rPr>
  </w:style>
  <w:style w:type="paragraph" w:styleId="TOC5">
    <w:name w:val="toc 5"/>
    <w:basedOn w:val="Normal"/>
    <w:next w:val="Normal"/>
    <w:autoRedefine/>
    <w:rsid w:val="002317C6"/>
    <w:pPr>
      <w:ind w:left="960"/>
    </w:pPr>
    <w:rPr>
      <w:rFonts w:asciiTheme="minorHAnsi" w:hAnsiTheme="minorHAnsi"/>
      <w:sz w:val="20"/>
      <w:szCs w:val="20"/>
    </w:rPr>
  </w:style>
  <w:style w:type="paragraph" w:styleId="TOC6">
    <w:name w:val="toc 6"/>
    <w:basedOn w:val="Normal"/>
    <w:next w:val="Normal"/>
    <w:autoRedefine/>
    <w:rsid w:val="002317C6"/>
    <w:pPr>
      <w:ind w:left="1200"/>
    </w:pPr>
    <w:rPr>
      <w:rFonts w:asciiTheme="minorHAnsi" w:hAnsiTheme="minorHAnsi"/>
      <w:sz w:val="20"/>
      <w:szCs w:val="20"/>
    </w:rPr>
  </w:style>
  <w:style w:type="paragraph" w:styleId="TOC7">
    <w:name w:val="toc 7"/>
    <w:basedOn w:val="Normal"/>
    <w:next w:val="Normal"/>
    <w:autoRedefine/>
    <w:rsid w:val="002317C6"/>
    <w:pPr>
      <w:ind w:left="1440"/>
    </w:pPr>
    <w:rPr>
      <w:rFonts w:asciiTheme="minorHAnsi" w:hAnsiTheme="minorHAnsi"/>
      <w:sz w:val="20"/>
      <w:szCs w:val="20"/>
    </w:rPr>
  </w:style>
  <w:style w:type="paragraph" w:styleId="TOC8">
    <w:name w:val="toc 8"/>
    <w:basedOn w:val="Normal"/>
    <w:next w:val="Normal"/>
    <w:autoRedefine/>
    <w:rsid w:val="002317C6"/>
    <w:pPr>
      <w:ind w:left="1680"/>
    </w:pPr>
    <w:rPr>
      <w:rFonts w:asciiTheme="minorHAnsi" w:hAnsiTheme="minorHAnsi"/>
      <w:sz w:val="20"/>
      <w:szCs w:val="20"/>
    </w:rPr>
  </w:style>
  <w:style w:type="paragraph" w:styleId="TOC9">
    <w:name w:val="toc 9"/>
    <w:basedOn w:val="Normal"/>
    <w:next w:val="Normal"/>
    <w:autoRedefine/>
    <w:rsid w:val="002317C6"/>
    <w:pPr>
      <w:ind w:left="1920"/>
    </w:pPr>
    <w:rPr>
      <w:rFonts w:asciiTheme="minorHAnsi" w:hAnsiTheme="minorHAnsi"/>
      <w:sz w:val="20"/>
      <w:szCs w:val="20"/>
    </w:rPr>
  </w:style>
  <w:style w:type="paragraph" w:styleId="PlainText">
    <w:name w:val="Plain Text"/>
    <w:basedOn w:val="Normal"/>
    <w:link w:val="PlainTextChar"/>
    <w:uiPriority w:val="99"/>
    <w:unhideWhenUsed/>
    <w:rsid w:val="00322198"/>
    <w:rPr>
      <w:rFonts w:ascii="Calibri" w:eastAsia="Cambria" w:hAnsi="Calibri"/>
      <w:sz w:val="22"/>
      <w:szCs w:val="21"/>
      <w:lang w:val="en-GB"/>
    </w:rPr>
  </w:style>
  <w:style w:type="character" w:customStyle="1" w:styleId="PlainTextChar">
    <w:name w:val="Plain Text Char"/>
    <w:basedOn w:val="DefaultParagraphFont"/>
    <w:link w:val="PlainText"/>
    <w:uiPriority w:val="99"/>
    <w:rsid w:val="00322198"/>
    <w:rPr>
      <w:rFonts w:ascii="Calibri" w:eastAsia="Cambria" w:hAnsi="Calibri"/>
      <w:sz w:val="22"/>
      <w:szCs w:val="21"/>
    </w:rPr>
  </w:style>
  <w:style w:type="paragraph" w:customStyle="1" w:styleId="Heading21">
    <w:name w:val="Heading 21"/>
    <w:basedOn w:val="Normal"/>
    <w:next w:val="Normal"/>
    <w:uiPriority w:val="9"/>
    <w:unhideWhenUsed/>
    <w:qFormat/>
    <w:rsid w:val="00D80CC0"/>
    <w:pPr>
      <w:keepNext/>
      <w:keepLines/>
      <w:spacing w:before="200" w:line="276" w:lineRule="auto"/>
      <w:outlineLvl w:val="1"/>
    </w:pPr>
    <w:rPr>
      <w:rFonts w:ascii="Cambria" w:hAnsi="Cambria"/>
      <w:b/>
      <w:bCs/>
      <w:color w:val="4F81BD"/>
      <w:sz w:val="26"/>
      <w:szCs w:val="26"/>
      <w:lang w:val="en-GB"/>
    </w:rPr>
  </w:style>
  <w:style w:type="paragraph" w:customStyle="1" w:styleId="Heading31">
    <w:name w:val="Heading 31"/>
    <w:basedOn w:val="Normal"/>
    <w:next w:val="Normal"/>
    <w:uiPriority w:val="9"/>
    <w:unhideWhenUsed/>
    <w:qFormat/>
    <w:rsid w:val="00D80CC0"/>
    <w:pPr>
      <w:keepNext/>
      <w:keepLines/>
      <w:spacing w:before="200" w:line="276" w:lineRule="auto"/>
      <w:outlineLvl w:val="2"/>
    </w:pPr>
    <w:rPr>
      <w:rFonts w:ascii="Cambria" w:hAnsi="Cambria"/>
      <w:b/>
      <w:bCs/>
      <w:color w:val="4F81BD"/>
      <w:lang w:val="en-GB"/>
    </w:rPr>
  </w:style>
  <w:style w:type="paragraph" w:customStyle="1" w:styleId="Heading41">
    <w:name w:val="Heading 41"/>
    <w:basedOn w:val="Normal"/>
    <w:next w:val="Normal"/>
    <w:uiPriority w:val="9"/>
    <w:unhideWhenUsed/>
    <w:qFormat/>
    <w:rsid w:val="00D80CC0"/>
    <w:pPr>
      <w:keepNext/>
      <w:keepLines/>
      <w:spacing w:before="200" w:line="276" w:lineRule="auto"/>
      <w:outlineLvl w:val="3"/>
    </w:pPr>
    <w:rPr>
      <w:rFonts w:ascii="Cambria" w:hAnsi="Cambria"/>
      <w:b/>
      <w:bCs/>
      <w:i/>
      <w:iCs/>
      <w:color w:val="4F81BD"/>
      <w:lang w:val="en-GB"/>
    </w:rPr>
  </w:style>
  <w:style w:type="paragraph" w:customStyle="1" w:styleId="Heading51">
    <w:name w:val="Heading 51"/>
    <w:basedOn w:val="Normal"/>
    <w:next w:val="Normal"/>
    <w:uiPriority w:val="9"/>
    <w:unhideWhenUsed/>
    <w:qFormat/>
    <w:rsid w:val="00D80CC0"/>
    <w:pPr>
      <w:keepNext/>
      <w:keepLines/>
      <w:spacing w:before="200" w:line="276" w:lineRule="auto"/>
      <w:outlineLvl w:val="4"/>
    </w:pPr>
    <w:rPr>
      <w:rFonts w:ascii="Cambria" w:hAnsi="Cambria"/>
      <w:color w:val="243F60"/>
      <w:lang w:val="en-GB"/>
    </w:rPr>
  </w:style>
  <w:style w:type="paragraph" w:customStyle="1" w:styleId="ListParagraph1">
    <w:name w:val="List Paragraph1"/>
    <w:basedOn w:val="Normal"/>
    <w:next w:val="ListParagraph"/>
    <w:uiPriority w:val="34"/>
    <w:qFormat/>
    <w:rsid w:val="00D80CC0"/>
    <w:pPr>
      <w:spacing w:after="200" w:line="276" w:lineRule="auto"/>
      <w:ind w:left="720"/>
      <w:contextualSpacing/>
    </w:pPr>
    <w:rPr>
      <w:rFonts w:ascii="Calibri" w:eastAsia="Calibri" w:hAnsi="Calibri"/>
      <w:sz w:val="22"/>
      <w:szCs w:val="22"/>
      <w:lang w:val="en-GB"/>
    </w:rPr>
  </w:style>
  <w:style w:type="paragraph" w:styleId="ListParagraph">
    <w:name w:val="List Paragraph"/>
    <w:basedOn w:val="Normal"/>
    <w:uiPriority w:val="34"/>
    <w:qFormat/>
    <w:rsid w:val="00D80CC0"/>
    <w:pPr>
      <w:ind w:left="720"/>
      <w:contextualSpacing/>
    </w:pPr>
  </w:style>
  <w:style w:type="paragraph" w:customStyle="1" w:styleId="Subtitle1">
    <w:name w:val="Subtitle1"/>
    <w:basedOn w:val="Normal"/>
    <w:next w:val="Normal"/>
    <w:uiPriority w:val="11"/>
    <w:qFormat/>
    <w:rsid w:val="00D80CC0"/>
    <w:pPr>
      <w:numPr>
        <w:ilvl w:val="1"/>
      </w:numPr>
      <w:spacing w:after="200" w:line="276" w:lineRule="auto"/>
    </w:pPr>
    <w:rPr>
      <w:rFonts w:ascii="Cambria" w:hAnsi="Cambria"/>
      <w:i/>
      <w:iCs/>
      <w:color w:val="4F81BD"/>
      <w:spacing w:val="15"/>
      <w:lang w:val="en-GB"/>
    </w:rPr>
  </w:style>
  <w:style w:type="paragraph" w:styleId="Subtitle">
    <w:name w:val="Subtitle"/>
    <w:basedOn w:val="Normal"/>
    <w:next w:val="Normal"/>
    <w:link w:val="SubtitleChar"/>
    <w:uiPriority w:val="11"/>
    <w:qFormat/>
    <w:rsid w:val="00D80CC0"/>
    <w:pPr>
      <w:numPr>
        <w:ilvl w:val="1"/>
      </w:numPr>
    </w:pPr>
    <w:rPr>
      <w:rFonts w:ascii="Cambria" w:hAnsi="Cambria"/>
      <w:i/>
      <w:iCs/>
      <w:color w:val="4F81BD"/>
      <w:spacing w:val="15"/>
      <w:sz w:val="20"/>
      <w:szCs w:val="20"/>
      <w:lang w:val="en-GB"/>
    </w:rPr>
  </w:style>
  <w:style w:type="character" w:customStyle="1" w:styleId="SubtitleChar">
    <w:name w:val="Subtitle Char"/>
    <w:basedOn w:val="DefaultParagraphFont"/>
    <w:link w:val="Subtitle"/>
    <w:uiPriority w:val="11"/>
    <w:rsid w:val="00D80CC0"/>
    <w:rPr>
      <w:rFonts w:ascii="Cambria" w:hAnsi="Cambria"/>
      <w:i/>
      <w:iCs/>
      <w:color w:val="4F81BD"/>
      <w:spacing w:val="15"/>
    </w:rPr>
  </w:style>
  <w:style w:type="character" w:styleId="FootnoteReference">
    <w:name w:val="footnote reference"/>
    <w:basedOn w:val="DefaultParagraphFont"/>
    <w:rsid w:val="000A70B0"/>
    <w:rPr>
      <w:vertAlign w:val="superscript"/>
    </w:rPr>
  </w:style>
  <w:style w:type="paragraph" w:customStyle="1" w:styleId="Default">
    <w:name w:val="Default"/>
    <w:rsid w:val="000A70B0"/>
    <w:pPr>
      <w:autoSpaceDE w:val="0"/>
      <w:autoSpaceDN w:val="0"/>
      <w:adjustRightInd w:val="0"/>
    </w:pPr>
    <w:rPr>
      <w:rFonts w:ascii="Calibri" w:eastAsiaTheme="minorHAnsi" w:hAnsi="Calibri" w:cs="Calibri"/>
      <w:color w:val="000000"/>
      <w:sz w:val="24"/>
      <w:szCs w:val="24"/>
    </w:rPr>
  </w:style>
  <w:style w:type="paragraph" w:styleId="FootnoteText">
    <w:name w:val="footnote text"/>
    <w:basedOn w:val="Normal"/>
    <w:link w:val="FootnoteTextChar"/>
    <w:uiPriority w:val="99"/>
    <w:unhideWhenUsed/>
    <w:rsid w:val="000A70B0"/>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0A70B0"/>
    <w:rPr>
      <w:rFonts w:asciiTheme="minorHAnsi" w:eastAsiaTheme="minorHAnsi" w:hAnsiTheme="minorHAnsi" w:cstheme="minorBidi"/>
    </w:rPr>
  </w:style>
  <w:style w:type="character" w:customStyle="1" w:styleId="Heading2Char">
    <w:name w:val="Heading 2 Char"/>
    <w:basedOn w:val="DefaultParagraphFont"/>
    <w:link w:val="Heading2"/>
    <w:uiPriority w:val="9"/>
    <w:rsid w:val="0096510B"/>
    <w:rPr>
      <w:rFonts w:asciiTheme="majorHAnsi" w:eastAsiaTheme="majorEastAsia" w:hAnsiTheme="majorHAnsi" w:cstheme="majorBidi"/>
      <w:b/>
      <w:bCs/>
      <w:color w:val="4F81BD" w:themeColor="accent1"/>
      <w:sz w:val="26"/>
      <w:szCs w:val="26"/>
    </w:rPr>
  </w:style>
  <w:style w:type="paragraph" w:customStyle="1" w:styleId="HANGINGINDENT">
    <w:name w:val="HANGING INDENT"/>
    <w:basedOn w:val="Normal"/>
    <w:next w:val="Normal"/>
    <w:rsid w:val="0096510B"/>
    <w:pPr>
      <w:tabs>
        <w:tab w:val="left" w:pos="-720"/>
      </w:tabs>
      <w:suppressAutoHyphens/>
      <w:ind w:left="426" w:hanging="709"/>
    </w:pPr>
    <w:rPr>
      <w:sz w:val="18"/>
      <w:szCs w:val="20"/>
      <w:lang w:val="en-GB"/>
    </w:rPr>
  </w:style>
  <w:style w:type="character" w:styleId="PlaceholderText">
    <w:name w:val="Placeholder Text"/>
    <w:basedOn w:val="DefaultParagraphFont"/>
    <w:uiPriority w:val="99"/>
    <w:rsid w:val="0096510B"/>
    <w:rPr>
      <w:color w:val="808080"/>
    </w:rPr>
  </w:style>
  <w:style w:type="character" w:customStyle="1" w:styleId="HeaderChar">
    <w:name w:val="Header Char"/>
    <w:basedOn w:val="DefaultParagraphFont"/>
    <w:link w:val="Header"/>
    <w:uiPriority w:val="99"/>
    <w:rsid w:val="0096510B"/>
    <w:rPr>
      <w:sz w:val="24"/>
      <w:szCs w:val="24"/>
      <w:lang w:val="en-US"/>
    </w:rPr>
  </w:style>
  <w:style w:type="character" w:customStyle="1" w:styleId="FooterChar">
    <w:name w:val="Footer Char"/>
    <w:basedOn w:val="DefaultParagraphFont"/>
    <w:link w:val="Footer"/>
    <w:uiPriority w:val="99"/>
    <w:rsid w:val="0096510B"/>
    <w:rPr>
      <w:sz w:val="24"/>
      <w:szCs w:val="24"/>
      <w:lang w:val="en-US"/>
    </w:rPr>
  </w:style>
  <w:style w:type="character" w:customStyle="1" w:styleId="hithilite3">
    <w:name w:val="hithilite3"/>
    <w:basedOn w:val="DefaultParagraphFont"/>
    <w:rsid w:val="0096510B"/>
    <w:rPr>
      <w:shd w:val="clear" w:color="auto" w:fill="FFFF00"/>
    </w:rPr>
  </w:style>
  <w:style w:type="character" w:customStyle="1" w:styleId="frlabel1">
    <w:name w:val="fr_label1"/>
    <w:basedOn w:val="DefaultParagraphFont"/>
    <w:rsid w:val="0096510B"/>
    <w:rPr>
      <w:b/>
      <w:bCs/>
    </w:rPr>
  </w:style>
  <w:style w:type="character" w:styleId="CommentReference">
    <w:name w:val="annotation reference"/>
    <w:basedOn w:val="DefaultParagraphFont"/>
    <w:uiPriority w:val="99"/>
    <w:unhideWhenUsed/>
    <w:rsid w:val="0096510B"/>
    <w:rPr>
      <w:sz w:val="16"/>
      <w:szCs w:val="16"/>
    </w:rPr>
  </w:style>
  <w:style w:type="paragraph" w:styleId="CommentText">
    <w:name w:val="annotation text"/>
    <w:basedOn w:val="Normal"/>
    <w:link w:val="CommentTextChar"/>
    <w:uiPriority w:val="99"/>
    <w:unhideWhenUsed/>
    <w:rsid w:val="0096510B"/>
    <w:pPr>
      <w:spacing w:after="20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96510B"/>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96510B"/>
    <w:rPr>
      <w:b/>
      <w:bCs/>
    </w:rPr>
  </w:style>
  <w:style w:type="character" w:customStyle="1" w:styleId="CommentSubjectChar">
    <w:name w:val="Comment Subject Char"/>
    <w:basedOn w:val="CommentTextChar"/>
    <w:link w:val="CommentSubject"/>
    <w:uiPriority w:val="99"/>
    <w:rsid w:val="0096510B"/>
    <w:rPr>
      <w:rFonts w:asciiTheme="minorHAnsi" w:eastAsiaTheme="minorHAnsi" w:hAnsiTheme="minorHAnsi" w:cstheme="minorBidi"/>
      <w:b/>
      <w:bCs/>
    </w:rPr>
  </w:style>
  <w:style w:type="paragraph" w:styleId="Revision">
    <w:name w:val="Revision"/>
    <w:hidden/>
    <w:uiPriority w:val="99"/>
    <w:rsid w:val="0096510B"/>
    <w:rPr>
      <w:rFonts w:asciiTheme="minorHAnsi" w:eastAsiaTheme="minorHAnsi" w:hAnsiTheme="minorHAnsi" w:cstheme="minorBidi"/>
      <w:sz w:val="22"/>
      <w:szCs w:val="22"/>
    </w:rPr>
  </w:style>
  <w:style w:type="character" w:customStyle="1" w:styleId="reference-text">
    <w:name w:val="reference-text"/>
    <w:basedOn w:val="DefaultParagraphFont"/>
    <w:rsid w:val="0096510B"/>
  </w:style>
  <w:style w:type="paragraph" w:customStyle="1" w:styleId="EndNoteBibliographyTitle">
    <w:name w:val="EndNote Bibliography Title"/>
    <w:basedOn w:val="Normal"/>
    <w:link w:val="EndNoteBibliographyTitleChar"/>
    <w:rsid w:val="0096510B"/>
    <w:pPr>
      <w:spacing w:line="276" w:lineRule="auto"/>
      <w:jc w:val="center"/>
    </w:pPr>
    <w:rPr>
      <w:rFonts w:ascii="Calibri" w:eastAsiaTheme="minorHAnsi" w:hAnsi="Calibri" w:cstheme="minorBidi"/>
      <w:noProof/>
      <w:sz w:val="22"/>
      <w:szCs w:val="22"/>
    </w:rPr>
  </w:style>
  <w:style w:type="character" w:customStyle="1" w:styleId="EndNoteBibliographyTitleChar">
    <w:name w:val="EndNote Bibliography Title Char"/>
    <w:basedOn w:val="DefaultParagraphFont"/>
    <w:link w:val="EndNoteBibliographyTitle"/>
    <w:rsid w:val="0096510B"/>
    <w:rPr>
      <w:rFonts w:ascii="Calibri" w:eastAsiaTheme="minorHAnsi" w:hAnsi="Calibri" w:cstheme="minorBidi"/>
      <w:noProof/>
      <w:sz w:val="22"/>
      <w:szCs w:val="22"/>
      <w:lang w:val="en-US"/>
    </w:rPr>
  </w:style>
  <w:style w:type="paragraph" w:customStyle="1" w:styleId="EndNoteBibliography">
    <w:name w:val="EndNote Bibliography"/>
    <w:basedOn w:val="Normal"/>
    <w:link w:val="EndNoteBibliographyChar"/>
    <w:rsid w:val="0096510B"/>
    <w:pPr>
      <w:spacing w:after="20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96510B"/>
    <w:rPr>
      <w:rFonts w:ascii="Calibri" w:eastAsiaTheme="minorHAnsi" w:hAnsi="Calibri" w:cstheme="minorBidi"/>
      <w:noProof/>
      <w:sz w:val="22"/>
      <w:szCs w:val="22"/>
      <w:lang w:val="en-US"/>
    </w:rPr>
  </w:style>
  <w:style w:type="character" w:customStyle="1" w:styleId="googqs-tidbit">
    <w:name w:val="goog_qs-tidbit"/>
    <w:basedOn w:val="DefaultParagraphFont"/>
    <w:rsid w:val="00091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ideas.repec.org/s/ecj/econjl.html" TargetMode="External"/><Relationship Id="rId2" Type="http://schemas.openxmlformats.org/officeDocument/2006/relationships/numbering" Target="numbering.xml"/><Relationship Id="rId16" Type="http://schemas.openxmlformats.org/officeDocument/2006/relationships/hyperlink" Target="http://ideas.repec.org/a/ecj/econjl/v107y1997i444p1530-47.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C5226-7D71-474B-9C49-BA32F5CD4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12465</Words>
  <Characters>71055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¬¬X</vt:lpstr>
    </vt:vector>
  </TitlesOfParts>
  <Company>Standout</Company>
  <LinksUpToDate>false</LinksUpToDate>
  <CharactersWithSpaces>83354</CharactersWithSpaces>
  <SharedDoc>false</SharedDoc>
  <HLinks>
    <vt:vector size="18" baseType="variant">
      <vt:variant>
        <vt:i4>3997806</vt:i4>
      </vt:variant>
      <vt:variant>
        <vt:i4>-1</vt:i4>
      </vt:variant>
      <vt:variant>
        <vt:i4>2051</vt:i4>
      </vt:variant>
      <vt:variant>
        <vt:i4>1</vt:i4>
      </vt:variant>
      <vt:variant>
        <vt:lpwstr>ERC_TEXT_Top_Word</vt:lpwstr>
      </vt:variant>
      <vt:variant>
        <vt:lpwstr/>
      </vt:variant>
      <vt:variant>
        <vt:i4>4915211</vt:i4>
      </vt:variant>
      <vt:variant>
        <vt:i4>-1</vt:i4>
      </vt:variant>
      <vt:variant>
        <vt:i4>2062</vt:i4>
      </vt:variant>
      <vt:variant>
        <vt:i4>1</vt:i4>
      </vt:variant>
      <vt:variant>
        <vt:lpwstr>ERC_TEXT_Base_Word_2</vt:lpwstr>
      </vt:variant>
      <vt:variant>
        <vt:lpwstr/>
      </vt:variant>
      <vt:variant>
        <vt:i4>4915252</vt:i4>
      </vt:variant>
      <vt:variant>
        <vt:i4>-1</vt:i4>
      </vt:variant>
      <vt:variant>
        <vt:i4>1046</vt:i4>
      </vt:variant>
      <vt:variant>
        <vt:i4>1</vt:i4>
      </vt:variant>
      <vt:variant>
        <vt:lpwstr>ERC_FC_Word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Deirdre Kennedy</dc:creator>
  <cp:lastModifiedBy>Ferris, Wendy</cp:lastModifiedBy>
  <cp:revision>2</cp:revision>
  <cp:lastPrinted>2014-06-20T14:13:00Z</cp:lastPrinted>
  <dcterms:created xsi:type="dcterms:W3CDTF">2014-07-30T08:24:00Z</dcterms:created>
  <dcterms:modified xsi:type="dcterms:W3CDTF">2014-07-30T08:24:00Z</dcterms:modified>
</cp:coreProperties>
</file>